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AE" w:rsidRDefault="000971AE" w:rsidP="007953B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b/>
          <w:sz w:val="24"/>
          <w:szCs w:val="24"/>
        </w:rPr>
        <w:sectPr w:rsidR="005101DD" w:rsidSect="00153DB6">
          <w:headerReference w:type="default" r:id="rId8"/>
          <w:foot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0971AE" w:rsidRDefault="000971AE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B55B5F" w:rsidRDefault="00B55B5F" w:rsidP="007953B9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</w:p>
    <w:p w:rsidR="00B55B5F" w:rsidRDefault="00B55B5F" w:rsidP="007953B9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</w:p>
    <w:p w:rsidR="005101DD" w:rsidRPr="00B55B5F" w:rsidRDefault="005101DD" w:rsidP="007953B9">
      <w:pPr>
        <w:spacing w:line="276" w:lineRule="auto"/>
        <w:jc w:val="center"/>
        <w:rPr>
          <w:rFonts w:ascii="Verdana" w:hAnsi="Verdana"/>
          <w:b/>
          <w:sz w:val="52"/>
          <w:szCs w:val="52"/>
        </w:rPr>
      </w:pPr>
      <w:r w:rsidRPr="00B55B5F">
        <w:rPr>
          <w:rFonts w:ascii="Verdana" w:hAnsi="Verdana"/>
          <w:b/>
          <w:sz w:val="52"/>
          <w:szCs w:val="52"/>
        </w:rPr>
        <w:t>INFORME EVAL</w:t>
      </w:r>
      <w:r w:rsidR="006B5C74">
        <w:rPr>
          <w:rFonts w:ascii="Verdana" w:hAnsi="Verdana"/>
          <w:b/>
          <w:sz w:val="52"/>
          <w:szCs w:val="52"/>
        </w:rPr>
        <w:t>U</w:t>
      </w:r>
      <w:r w:rsidRPr="00B55B5F">
        <w:rPr>
          <w:rFonts w:ascii="Verdana" w:hAnsi="Verdana"/>
          <w:b/>
          <w:sz w:val="52"/>
          <w:szCs w:val="52"/>
        </w:rPr>
        <w:t>ACIÓN DEL DESEMPEÑO</w:t>
      </w:r>
      <w:r w:rsidR="00B55B5F">
        <w:rPr>
          <w:rFonts w:ascii="Verdana" w:hAnsi="Verdana"/>
          <w:b/>
          <w:sz w:val="52"/>
          <w:szCs w:val="52"/>
        </w:rPr>
        <w:t xml:space="preserve"> </w:t>
      </w:r>
      <w:r w:rsidR="006B5C74">
        <w:rPr>
          <w:rFonts w:ascii="Verdana" w:hAnsi="Verdana"/>
          <w:b/>
          <w:sz w:val="52"/>
          <w:szCs w:val="52"/>
        </w:rPr>
        <w:t>LABORAL</w:t>
      </w:r>
      <w:r w:rsidRPr="00B55B5F">
        <w:rPr>
          <w:rFonts w:ascii="Verdana" w:hAnsi="Verdana"/>
          <w:b/>
          <w:sz w:val="52"/>
          <w:szCs w:val="52"/>
        </w:rPr>
        <w:t xml:space="preserve"> PERIODO 2017 – 2018</w:t>
      </w:r>
    </w:p>
    <w:p w:rsidR="00B55B5F" w:rsidRDefault="00B55B5F" w:rsidP="007953B9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5101DD">
        <w:rPr>
          <w:rFonts w:ascii="Verdana" w:hAnsi="Verdana"/>
          <w:sz w:val="24"/>
          <w:szCs w:val="24"/>
        </w:rPr>
        <w:t>ALCALDÍA DE MONTERÍA</w:t>
      </w: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B55B5F" w:rsidP="007953B9">
      <w:pPr>
        <w:spacing w:line="276" w:lineRule="auto"/>
        <w:rPr>
          <w:rFonts w:ascii="Verdana" w:hAnsi="Verdana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5EB05F91" wp14:editId="2F4F1E42">
            <wp:simplePos x="0" y="0"/>
            <wp:positionH relativeFrom="margin">
              <wp:posOffset>1470025</wp:posOffset>
            </wp:positionH>
            <wp:positionV relativeFrom="paragraph">
              <wp:posOffset>24264</wp:posOffset>
            </wp:positionV>
            <wp:extent cx="2694940" cy="3006090"/>
            <wp:effectExtent l="0" t="0" r="0" b="3810"/>
            <wp:wrapSquare wrapText="bothSides"/>
            <wp:docPr id="4" name="Imagen 4" descr="C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P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B55B5F" w:rsidRDefault="00B55B5F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B55B5F" w:rsidRDefault="00B55B5F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B55B5F" w:rsidRPr="005101DD" w:rsidRDefault="00B55B5F" w:rsidP="007953B9">
      <w:pPr>
        <w:spacing w:line="276" w:lineRule="auto"/>
        <w:rPr>
          <w:rFonts w:ascii="Verdana" w:hAnsi="Verdana"/>
          <w:sz w:val="24"/>
          <w:szCs w:val="24"/>
        </w:rPr>
      </w:pPr>
    </w:p>
    <w:p w:rsidR="005101DD" w:rsidRDefault="005101DD" w:rsidP="007953B9">
      <w:pPr>
        <w:tabs>
          <w:tab w:val="left" w:pos="3645"/>
        </w:tabs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5101DD">
        <w:rPr>
          <w:rFonts w:ascii="Verdana" w:hAnsi="Verdana"/>
          <w:b/>
          <w:sz w:val="24"/>
          <w:szCs w:val="24"/>
        </w:rPr>
        <w:t>OFICINA DE TALENTO HUMANO</w:t>
      </w:r>
    </w:p>
    <w:p w:rsidR="005101DD" w:rsidRDefault="005101DD" w:rsidP="007953B9">
      <w:pPr>
        <w:tabs>
          <w:tab w:val="left" w:pos="3645"/>
        </w:tabs>
        <w:spacing w:line="276" w:lineRule="auto"/>
        <w:jc w:val="center"/>
        <w:rPr>
          <w:rFonts w:ascii="Verdana" w:hAnsi="Verdana"/>
          <w:sz w:val="24"/>
          <w:szCs w:val="24"/>
        </w:rPr>
        <w:sectPr w:rsidR="005101DD" w:rsidSect="00153DB6">
          <w:headerReference w:type="default" r:id="rId11"/>
          <w:footerReference w:type="defaul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101DD">
        <w:rPr>
          <w:rFonts w:ascii="Verdana" w:hAnsi="Verdana"/>
          <w:sz w:val="24"/>
          <w:szCs w:val="24"/>
        </w:rPr>
        <w:lastRenderedPageBreak/>
        <w:t>ABRIL 3</w:t>
      </w:r>
      <w:r w:rsidR="0078758E">
        <w:rPr>
          <w:rFonts w:ascii="Verdana" w:hAnsi="Verdana"/>
          <w:sz w:val="24"/>
          <w:szCs w:val="24"/>
        </w:rPr>
        <w:t>0</w:t>
      </w:r>
      <w:r w:rsidRPr="005101DD">
        <w:rPr>
          <w:rFonts w:ascii="Verdana" w:hAnsi="Verdana"/>
          <w:sz w:val="24"/>
          <w:szCs w:val="24"/>
        </w:rPr>
        <w:t xml:space="preserve"> DE 2018</w:t>
      </w:r>
      <w:r w:rsidR="000971AE" w:rsidRPr="005101DD">
        <w:rPr>
          <w:rFonts w:ascii="Verdana" w:hAnsi="Verdana"/>
          <w:sz w:val="24"/>
          <w:szCs w:val="24"/>
        </w:rPr>
        <w:br w:type="page"/>
      </w:r>
    </w:p>
    <w:p w:rsidR="005101DD" w:rsidRPr="005101DD" w:rsidRDefault="005101DD" w:rsidP="007953B9">
      <w:pPr>
        <w:tabs>
          <w:tab w:val="left" w:pos="3645"/>
        </w:tabs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TABLA DE CONTENIDO</w:t>
      </w:r>
      <w:r w:rsidR="005246CD">
        <w:rPr>
          <w:rFonts w:ascii="Verdana" w:hAnsi="Verdana"/>
          <w:b/>
          <w:sz w:val="24"/>
          <w:szCs w:val="24"/>
        </w:rPr>
        <w:fldChar w:fldCharType="begin"/>
      </w:r>
      <w:r w:rsidR="005246CD">
        <w:rPr>
          <w:rFonts w:ascii="Verdana" w:hAnsi="Verdana"/>
          <w:b/>
          <w:sz w:val="24"/>
          <w:szCs w:val="24"/>
        </w:rPr>
        <w:instrText xml:space="preserve"> TOC \o "1-3" \u </w:instrText>
      </w:r>
      <w:r w:rsidR="005246CD">
        <w:rPr>
          <w:rFonts w:ascii="Verdana" w:hAnsi="Verdana"/>
          <w:b/>
          <w:sz w:val="24"/>
          <w:szCs w:val="24"/>
        </w:rPr>
        <w:fldChar w:fldCharType="separate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1.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GENERALIDADES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_Toc513538280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5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1.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MARCO LEGAL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_Toc513538281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6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_Toc513538282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7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ALCANCE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_Toc513538283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7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CRITERIOS DE EVALUACIÓN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_Toc513538284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8</w:t>
      </w:r>
      <w:r>
        <w:rPr>
          <w:noProof/>
        </w:rPr>
        <w:fldChar w:fldCharType="end"/>
      </w:r>
    </w:p>
    <w:p w:rsidR="005101DD" w:rsidRDefault="005101DD" w:rsidP="007953B9">
      <w:pPr>
        <w:pStyle w:val="TDC3"/>
        <w:tabs>
          <w:tab w:val="left" w:pos="1100"/>
          <w:tab w:val="right" w:leader="dot" w:pos="8828"/>
        </w:tabs>
        <w:spacing w:line="276" w:lineRule="auto"/>
        <w:rPr>
          <w:rFonts w:asciiTheme="minorHAnsi" w:eastAsiaTheme="minorEastAsia" w:hAnsiTheme="minorHAnsi"/>
          <w:noProof/>
          <w:sz w:val="22"/>
          <w:lang w:val="es-CO" w:eastAsia="es-CO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noProof/>
          <w:sz w:val="22"/>
          <w:lang w:val="es-CO" w:eastAsia="es-CO"/>
        </w:rPr>
        <w:tab/>
      </w:r>
      <w:r>
        <w:rPr>
          <w:noProof/>
        </w:rPr>
        <w:t>PROCETAJES DE COMPONENTES DE LA EVALUACION DEL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_Toc513538285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8</w:t>
      </w:r>
      <w:r>
        <w:rPr>
          <w:noProof/>
        </w:rPr>
        <w:fldChar w:fldCharType="end"/>
      </w:r>
    </w:p>
    <w:p w:rsidR="005101DD" w:rsidRDefault="005101DD" w:rsidP="007953B9">
      <w:pPr>
        <w:pStyle w:val="TDC3"/>
        <w:tabs>
          <w:tab w:val="left" w:pos="1100"/>
          <w:tab w:val="right" w:leader="dot" w:pos="8828"/>
        </w:tabs>
        <w:spacing w:line="276" w:lineRule="auto"/>
        <w:rPr>
          <w:rFonts w:asciiTheme="minorHAnsi" w:eastAsiaTheme="minorEastAsia" w:hAnsiTheme="minorHAnsi"/>
          <w:noProof/>
          <w:sz w:val="22"/>
          <w:lang w:val="es-CO" w:eastAsia="es-CO"/>
        </w:rPr>
      </w:pPr>
      <w:r>
        <w:rPr>
          <w:noProof/>
        </w:rPr>
        <w:t>4.2.</w:t>
      </w:r>
      <w:r>
        <w:rPr>
          <w:rFonts w:asciiTheme="minorHAnsi" w:eastAsiaTheme="minorEastAsia" w:hAnsiTheme="minorHAnsi"/>
          <w:noProof/>
          <w:sz w:val="22"/>
          <w:lang w:val="es-CO" w:eastAsia="es-CO"/>
        </w:rPr>
        <w:tab/>
      </w:r>
      <w:r>
        <w:rPr>
          <w:noProof/>
        </w:rPr>
        <w:t>NIVELES DE CUMPLIMIENTO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_Toc513538286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8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PROCESO DE EVALUACIÓN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_Toc513538287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8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EVALUACIÓN DE GESTIÓN POR ÁREAS O DEPENDENCIAS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_Toc513538288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10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RESULTADOS DE LA EVALUACIÓN.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_Toc513538289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11</w:t>
      </w:r>
      <w:r>
        <w:rPr>
          <w:noProof/>
        </w:rPr>
        <w:fldChar w:fldCharType="end"/>
      </w:r>
    </w:p>
    <w:p w:rsidR="005101DD" w:rsidRDefault="005101DD" w:rsidP="007953B9">
      <w:pPr>
        <w:pStyle w:val="TDC2"/>
        <w:tabs>
          <w:tab w:val="left" w:pos="660"/>
          <w:tab w:val="right" w:leader="dot" w:pos="8828"/>
        </w:tabs>
        <w:spacing w:line="276" w:lineRule="auto"/>
        <w:rPr>
          <w:rFonts w:asciiTheme="minorHAnsi" w:eastAsiaTheme="minorEastAsia" w:hAnsiTheme="minorHAnsi"/>
          <w:b w:val="0"/>
          <w:noProof/>
          <w:sz w:val="22"/>
          <w:lang w:val="es-CO"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/>
          <w:b w:val="0"/>
          <w:noProof/>
          <w:sz w:val="22"/>
          <w:lang w:val="es-CO" w:eastAsia="es-CO"/>
        </w:rPr>
        <w:tab/>
      </w:r>
      <w:r>
        <w:rPr>
          <w:noProof/>
        </w:rPr>
        <w:t>CONCLUSIÓN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_Toc513538290 \h </w:instrText>
      </w:r>
      <w:r>
        <w:rPr>
          <w:noProof/>
        </w:rPr>
      </w:r>
      <w:r>
        <w:rPr>
          <w:noProof/>
        </w:rPr>
        <w:fldChar w:fldCharType="separate"/>
      </w:r>
      <w:r w:rsidR="007953B9">
        <w:rPr>
          <w:noProof/>
        </w:rPr>
        <w:t>17</w:t>
      </w:r>
      <w:r>
        <w:rPr>
          <w:noProof/>
        </w:rPr>
        <w:fldChar w:fldCharType="end"/>
      </w: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end"/>
      </w: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5246CD" w:rsidRDefault="005246CD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971AE" w:rsidRDefault="000971AE" w:rsidP="007953B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2419E9" w:rsidRPr="000971AE" w:rsidRDefault="002419E9" w:rsidP="007953B9">
      <w:pPr>
        <w:pStyle w:val="Ttulo2"/>
        <w:numPr>
          <w:ilvl w:val="0"/>
          <w:numId w:val="6"/>
        </w:numPr>
        <w:spacing w:line="276" w:lineRule="auto"/>
      </w:pPr>
      <w:bookmarkStart w:id="0" w:name="_Toc513537941"/>
      <w:bookmarkStart w:id="1" w:name="_Toc513538280"/>
      <w:r w:rsidRPr="000971AE">
        <w:t>GENERALIDADES</w:t>
      </w:r>
      <w:bookmarkEnd w:id="0"/>
      <w:bookmarkEnd w:id="1"/>
    </w:p>
    <w:p w:rsidR="002419E9" w:rsidRDefault="002419E9" w:rsidP="007953B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2419E9" w:rsidRDefault="002419E9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EVALUACION DE DESEMPEÑO LABORAL (EDL): </w:t>
      </w:r>
      <w:r>
        <w:rPr>
          <w:rFonts w:ascii="Verdana" w:hAnsi="Verdana"/>
          <w:sz w:val="24"/>
          <w:szCs w:val="24"/>
        </w:rPr>
        <w:t xml:space="preserve">es una herramienta de gestión </w:t>
      </w:r>
      <w:r w:rsidR="00DF7B69">
        <w:rPr>
          <w:rFonts w:ascii="Verdana" w:hAnsi="Verdana"/>
          <w:sz w:val="24"/>
          <w:szCs w:val="24"/>
        </w:rPr>
        <w:t>que,</w:t>
      </w:r>
      <w:r>
        <w:rPr>
          <w:rFonts w:ascii="Verdana" w:hAnsi="Verdana"/>
          <w:sz w:val="24"/>
          <w:szCs w:val="24"/>
        </w:rPr>
        <w:t xml:space="preserve"> con base en juicios objetivos sobre la conducta, las competencias laborales y los aportes al cumplimiento de las metas institucionales de los empleados de carrera y en periodo de prueba en el desempeño de sus respectivos cargos, busca valorar el merito como principio sobre el cual se fundamente su desarrollo y permanencia en el servicio. </w:t>
      </w:r>
    </w:p>
    <w:p w:rsidR="00003A24" w:rsidRDefault="002419E9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19E9">
        <w:rPr>
          <w:rFonts w:ascii="Verdana" w:hAnsi="Verdana"/>
          <w:b/>
          <w:sz w:val="24"/>
          <w:szCs w:val="24"/>
        </w:rPr>
        <w:t xml:space="preserve">METAS INSTITUCIONALES: </w:t>
      </w:r>
      <w:r>
        <w:rPr>
          <w:rFonts w:ascii="Verdana" w:hAnsi="Verdana"/>
          <w:sz w:val="24"/>
          <w:szCs w:val="24"/>
        </w:rPr>
        <w:t>son las establecidas por la alta dirección de la entidad, de conformidad con los planes, programas, proyectos, o planes operativos anuales por áreas o dependencia, encaminadas al cumplimiento de los objetivos y propósitos de la entidad. Metas con las cuales el empleado de carrera administrativo deberá comprometerse y realizar los aportes requeridos, para lograr su debido cumplimiento.</w:t>
      </w:r>
    </w:p>
    <w:p w:rsidR="00003A24" w:rsidRDefault="00003A2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003A24">
        <w:rPr>
          <w:rFonts w:ascii="Verdana" w:hAnsi="Verdana"/>
          <w:b/>
          <w:sz w:val="24"/>
          <w:szCs w:val="24"/>
        </w:rPr>
        <w:t xml:space="preserve">COMPROMISOS LABORALES: </w:t>
      </w:r>
      <w:r>
        <w:rPr>
          <w:rFonts w:ascii="Verdana" w:hAnsi="Verdana"/>
          <w:sz w:val="24"/>
          <w:szCs w:val="24"/>
        </w:rPr>
        <w:t xml:space="preserve">son los resultados, productos o servicios susceptibles de ser medidos, cuantificados y verificados, que deberá entregar el empleado publico en el periodo de evaluación determinado, de conformidad con los plazos y condiciones establecidas. Los compromisos laborales definen el como se desempeñan las competencias funcionales en cumplimiento de las metas institucionales. </w:t>
      </w:r>
    </w:p>
    <w:p w:rsidR="00003A24" w:rsidRDefault="00003A2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COMPETENCIAS COMPORTAMETALES: </w:t>
      </w:r>
      <w:r>
        <w:rPr>
          <w:rFonts w:ascii="Verdana" w:hAnsi="Verdana"/>
          <w:sz w:val="24"/>
          <w:szCs w:val="24"/>
        </w:rPr>
        <w:t xml:space="preserve">son las características relacionadas con las habilidades, actitudes y aptitudes que debe poseer y demostrar el empleado </w:t>
      </w:r>
      <w:r w:rsidR="002E0731">
        <w:rPr>
          <w:rFonts w:ascii="Verdana" w:hAnsi="Verdana"/>
          <w:sz w:val="24"/>
          <w:szCs w:val="24"/>
        </w:rPr>
        <w:t>público</w:t>
      </w:r>
      <w:r>
        <w:rPr>
          <w:rFonts w:ascii="Verdana" w:hAnsi="Verdana"/>
          <w:sz w:val="24"/>
          <w:szCs w:val="24"/>
        </w:rPr>
        <w:t xml:space="preserve">, encaminadas al mejoramiento individual y </w:t>
      </w:r>
      <w:r w:rsidR="002E0731">
        <w:rPr>
          <w:rFonts w:ascii="Verdana" w:hAnsi="Verdana"/>
          <w:sz w:val="24"/>
          <w:szCs w:val="24"/>
        </w:rPr>
        <w:t>requeridas</w:t>
      </w:r>
      <w:r>
        <w:rPr>
          <w:rFonts w:ascii="Verdana" w:hAnsi="Verdana"/>
          <w:sz w:val="24"/>
          <w:szCs w:val="24"/>
        </w:rPr>
        <w:t xml:space="preserve"> para el desempeño de las funciones del empleo reflejadas en los compromisos laborales. </w:t>
      </w:r>
    </w:p>
    <w:p w:rsidR="00003A24" w:rsidRDefault="00003A2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EVALUACI</w:t>
      </w:r>
      <w:r w:rsidR="00A933DB">
        <w:rPr>
          <w:rFonts w:ascii="Verdana" w:hAnsi="Verdana"/>
          <w:b/>
          <w:sz w:val="24"/>
          <w:szCs w:val="24"/>
        </w:rPr>
        <w:t>Ó</w:t>
      </w:r>
      <w:r>
        <w:rPr>
          <w:rFonts w:ascii="Verdana" w:hAnsi="Verdana"/>
          <w:b/>
          <w:sz w:val="24"/>
          <w:szCs w:val="24"/>
        </w:rPr>
        <w:t>N DE GESTI</w:t>
      </w:r>
      <w:r w:rsidR="00A933DB">
        <w:rPr>
          <w:rFonts w:ascii="Verdana" w:hAnsi="Verdana"/>
          <w:b/>
          <w:sz w:val="24"/>
          <w:szCs w:val="24"/>
        </w:rPr>
        <w:t>Ó</w:t>
      </w:r>
      <w:r>
        <w:rPr>
          <w:rFonts w:ascii="Verdana" w:hAnsi="Verdana"/>
          <w:b/>
          <w:sz w:val="24"/>
          <w:szCs w:val="24"/>
        </w:rPr>
        <w:t xml:space="preserve">N POR </w:t>
      </w:r>
      <w:r w:rsidR="00A933DB">
        <w:rPr>
          <w:rFonts w:ascii="Verdana" w:hAnsi="Verdana"/>
          <w:b/>
          <w:sz w:val="24"/>
          <w:szCs w:val="24"/>
        </w:rPr>
        <w:t>Á</w:t>
      </w:r>
      <w:r>
        <w:rPr>
          <w:rFonts w:ascii="Verdana" w:hAnsi="Verdana"/>
          <w:b/>
          <w:sz w:val="24"/>
          <w:szCs w:val="24"/>
        </w:rPr>
        <w:t xml:space="preserve">REAS O DEPENDENCIAS: </w:t>
      </w:r>
      <w:r>
        <w:rPr>
          <w:rFonts w:ascii="Verdana" w:hAnsi="Verdana"/>
          <w:sz w:val="24"/>
          <w:szCs w:val="24"/>
        </w:rPr>
        <w:t xml:space="preserve">es aquella que realiza anualmente el Jefe de la Oficina de Control Interno o </w:t>
      </w:r>
      <w:r>
        <w:rPr>
          <w:rFonts w:ascii="Verdana" w:hAnsi="Verdana"/>
          <w:sz w:val="24"/>
          <w:szCs w:val="24"/>
        </w:rPr>
        <w:lastRenderedPageBreak/>
        <w:t xml:space="preserve">quien haga sus veces, por medio </w:t>
      </w:r>
      <w:r w:rsidR="0057005E">
        <w:rPr>
          <w:rFonts w:ascii="Verdana" w:hAnsi="Verdana"/>
          <w:sz w:val="24"/>
          <w:szCs w:val="24"/>
        </w:rPr>
        <w:t xml:space="preserve">de la cual verifica el cumplimiento de las metas institucionales por parte de las áreas o dependencias de la entidad respectiva. Se define como fuente objetiva de información respecto al cumplimiento de las metas establecidas y es suministrada a los responsables de la evaluación por el Jefe de la Oficina de Control Interno o quien haga sus veces, constituyéndose en parte de la evaluación definitiva del empleado. </w:t>
      </w:r>
    </w:p>
    <w:p w:rsidR="0057005E" w:rsidRDefault="0057005E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7005E">
        <w:rPr>
          <w:rFonts w:ascii="Verdana" w:hAnsi="Verdana"/>
          <w:b/>
          <w:sz w:val="24"/>
          <w:szCs w:val="24"/>
        </w:rPr>
        <w:t xml:space="preserve">EVALUADOR: </w:t>
      </w:r>
      <w:r w:rsidRPr="0057005E">
        <w:rPr>
          <w:rFonts w:ascii="Verdana" w:hAnsi="Verdana"/>
          <w:sz w:val="24"/>
          <w:szCs w:val="24"/>
        </w:rPr>
        <w:t>Es el servidor p</w:t>
      </w:r>
      <w:r>
        <w:rPr>
          <w:rFonts w:ascii="Verdana" w:hAnsi="Verdana"/>
          <w:sz w:val="24"/>
          <w:szCs w:val="24"/>
        </w:rPr>
        <w:t>ú</w:t>
      </w:r>
      <w:r w:rsidRPr="0057005E">
        <w:rPr>
          <w:rFonts w:ascii="Verdana" w:hAnsi="Verdana"/>
          <w:sz w:val="24"/>
          <w:szCs w:val="24"/>
        </w:rPr>
        <w:t>blico</w:t>
      </w:r>
      <w:r>
        <w:rPr>
          <w:rFonts w:ascii="Verdana" w:hAnsi="Verdana"/>
          <w:sz w:val="24"/>
          <w:szCs w:val="24"/>
        </w:rPr>
        <w:t xml:space="preserve"> que teniendo personal a su cargo debe cumplir con la responsabilidad de efectuar la Evaluación del Desempeño Laboral de los empelado de carrera y en periodo de prueba, de conformidad con el procedimiento y los parámetros establecidos por el sistema tipo de Evaluación del Desempeño Laboral. </w:t>
      </w:r>
    </w:p>
    <w:p w:rsidR="0057005E" w:rsidRPr="0057005E" w:rsidRDefault="0057005E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7005E">
        <w:rPr>
          <w:rFonts w:ascii="Verdana" w:hAnsi="Verdana"/>
          <w:b/>
          <w:sz w:val="24"/>
          <w:szCs w:val="24"/>
        </w:rPr>
        <w:t>EVIDENCIAS: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son las pruebas que permiten establecer objetivamente el avance, cumplimiento o, incumplimiento de los compromisos concertados y que se han generado durante el periodo de evaluación, como productos o resultado del desempeño del empleado evaluado y que deben corresponder a los compromisos laborales y al desarrollo de las competencias comportamentales. </w:t>
      </w:r>
    </w:p>
    <w:p w:rsidR="001C4C57" w:rsidRDefault="001C4C57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4500E1" w:rsidRDefault="004500E1" w:rsidP="007953B9">
      <w:pPr>
        <w:pStyle w:val="Ttulo2"/>
        <w:numPr>
          <w:ilvl w:val="0"/>
          <w:numId w:val="5"/>
        </w:numPr>
        <w:spacing w:line="276" w:lineRule="auto"/>
      </w:pPr>
      <w:bookmarkStart w:id="2" w:name="_Toc513537942"/>
      <w:bookmarkStart w:id="3" w:name="_Toc513538281"/>
      <w:r>
        <w:t>MARCO LEGAL</w:t>
      </w:r>
      <w:bookmarkEnd w:id="2"/>
      <w:bookmarkEnd w:id="3"/>
      <w:r>
        <w:t xml:space="preserve"> </w:t>
      </w:r>
    </w:p>
    <w:p w:rsidR="00137E41" w:rsidRDefault="00137E41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137E41" w:rsidRDefault="006A567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4500E1">
        <w:rPr>
          <w:rFonts w:ascii="Verdana" w:hAnsi="Verdana"/>
          <w:sz w:val="24"/>
          <w:szCs w:val="24"/>
        </w:rPr>
        <w:t xml:space="preserve">e conformidad con las disposiciones establecidas en el articulo 8°, numeral 5, </w:t>
      </w:r>
      <w:r w:rsidR="006357BB">
        <w:rPr>
          <w:rFonts w:ascii="Verdana" w:hAnsi="Verdana"/>
          <w:sz w:val="24"/>
          <w:szCs w:val="24"/>
        </w:rPr>
        <w:t>literal A)</w:t>
      </w:r>
      <w:r w:rsidR="006357BB" w:rsidRPr="006357BB">
        <w:rPr>
          <w:rFonts w:ascii="Verdana" w:hAnsi="Verdana"/>
          <w:sz w:val="24"/>
          <w:szCs w:val="24"/>
        </w:rPr>
        <w:t xml:space="preserve"> </w:t>
      </w:r>
      <w:r w:rsidR="006357BB">
        <w:rPr>
          <w:rFonts w:ascii="Verdana" w:hAnsi="Verdana"/>
          <w:sz w:val="24"/>
          <w:szCs w:val="24"/>
        </w:rPr>
        <w:t xml:space="preserve">del Acuerdo 565 de 2016, proferido por la Comisión Nacional del Servicio Civil (CNSC), corresponde al Jefe de la Unidad de Personal de las entidades, o quien hagas sus veces, liderar en la entidad la implementación del Sistema Tipo de Evaluación del Desempeño Laboral, de los empleado de carrera y en periodo de prueba, </w:t>
      </w:r>
      <w:r w:rsidR="004500E1">
        <w:rPr>
          <w:rFonts w:ascii="Verdana" w:hAnsi="Verdana"/>
          <w:sz w:val="24"/>
          <w:szCs w:val="24"/>
        </w:rPr>
        <w:t xml:space="preserve">literal C) presentar, antes del 30 de abril de cada vigencia, al correspondiente nominador un informe sobre los resultados consolidados obtenidos en el proceso de Evaluación del Desempeño Laboral, que </w:t>
      </w:r>
      <w:r w:rsidR="006357BB">
        <w:rPr>
          <w:rFonts w:ascii="Verdana" w:hAnsi="Verdana"/>
          <w:sz w:val="24"/>
          <w:szCs w:val="24"/>
        </w:rPr>
        <w:t>contenga</w:t>
      </w:r>
      <w:r w:rsidR="004500E1">
        <w:rPr>
          <w:rFonts w:ascii="Verdana" w:hAnsi="Verdana"/>
          <w:sz w:val="24"/>
          <w:szCs w:val="24"/>
        </w:rPr>
        <w:t xml:space="preserve"> </w:t>
      </w:r>
      <w:r w:rsidR="006357BB">
        <w:rPr>
          <w:rFonts w:ascii="Verdana" w:hAnsi="Verdana"/>
          <w:sz w:val="24"/>
          <w:szCs w:val="24"/>
        </w:rPr>
        <w:t>análisis</w:t>
      </w:r>
      <w:r w:rsidR="004500E1">
        <w:rPr>
          <w:rFonts w:ascii="Verdana" w:hAnsi="Verdana"/>
          <w:sz w:val="24"/>
          <w:szCs w:val="24"/>
        </w:rPr>
        <w:t xml:space="preserve"> </w:t>
      </w:r>
      <w:r w:rsidR="004500E1">
        <w:rPr>
          <w:rFonts w:ascii="Verdana" w:hAnsi="Verdana"/>
          <w:sz w:val="24"/>
          <w:szCs w:val="24"/>
        </w:rPr>
        <w:lastRenderedPageBreak/>
        <w:t xml:space="preserve">cuantitativo y cualitativos que permitan establecer el Plan de </w:t>
      </w:r>
      <w:r w:rsidR="006357BB">
        <w:rPr>
          <w:rFonts w:ascii="Verdana" w:hAnsi="Verdana"/>
          <w:sz w:val="24"/>
          <w:szCs w:val="24"/>
        </w:rPr>
        <w:t xml:space="preserve">Estímulos e Incentivos, así como detectar las fortalezas y debilidades para que sean tenidas en cuenta en el Plan Institucional de Capacitación y en el Plan de Bienestar, de tal manera que contribuyan en la toma de decisiones estratégicas para la mejora en la prestación de servicios a cargo de la entidad.  </w:t>
      </w:r>
    </w:p>
    <w:p w:rsidR="00FF47A0" w:rsidRPr="00FF47A0" w:rsidRDefault="00FF47A0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2E0731" w:rsidRDefault="00137E41" w:rsidP="007953B9">
      <w:pPr>
        <w:pStyle w:val="Ttulo2"/>
        <w:numPr>
          <w:ilvl w:val="0"/>
          <w:numId w:val="5"/>
        </w:numPr>
        <w:spacing w:line="276" w:lineRule="auto"/>
      </w:pPr>
      <w:bookmarkStart w:id="4" w:name="_Toc513537943"/>
      <w:bookmarkStart w:id="5" w:name="_Toc513538282"/>
      <w:r>
        <w:t>OBJETIVOS</w:t>
      </w:r>
      <w:bookmarkEnd w:id="4"/>
      <w:bookmarkEnd w:id="5"/>
    </w:p>
    <w:p w:rsidR="001D68C8" w:rsidRDefault="001D68C8" w:rsidP="007953B9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CE6F85" w:rsidRDefault="00CE6F85" w:rsidP="007953B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CE6F85">
        <w:rPr>
          <w:rFonts w:ascii="Verdana" w:hAnsi="Verdana"/>
          <w:sz w:val="24"/>
          <w:szCs w:val="24"/>
        </w:rPr>
        <w:t xml:space="preserve">Contribuir </w:t>
      </w:r>
      <w:r>
        <w:rPr>
          <w:rFonts w:ascii="Verdana" w:hAnsi="Verdana"/>
          <w:sz w:val="24"/>
          <w:szCs w:val="24"/>
        </w:rPr>
        <w:t xml:space="preserve">al desarrollo de las políticas, planes, programas, proyectos y a los sistemas de gestión publica establecidos por la entidad, de manera que se evidencie la correspondencia entre el individual y el desempeño institucional. </w:t>
      </w:r>
    </w:p>
    <w:p w:rsidR="00CE6F85" w:rsidRDefault="00CE6F85" w:rsidP="007953B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Asegurar el cumplimiento del principio del mérito, en el ingreso y permanencia de los empleados públicos de carrera.</w:t>
      </w:r>
    </w:p>
    <w:p w:rsidR="001D68C8" w:rsidRDefault="001D68C8" w:rsidP="007953B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Establecer una herramienta de decisión que permita determinar el otorgamiento de estímulos e incentivos. </w:t>
      </w:r>
    </w:p>
    <w:p w:rsidR="001D68C8" w:rsidRDefault="001D68C8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D68C8" w:rsidRDefault="001D68C8" w:rsidP="007953B9">
      <w:pPr>
        <w:pStyle w:val="Ttulo2"/>
        <w:numPr>
          <w:ilvl w:val="0"/>
          <w:numId w:val="5"/>
        </w:numPr>
        <w:spacing w:line="276" w:lineRule="auto"/>
      </w:pPr>
      <w:bookmarkStart w:id="6" w:name="_Toc513537944"/>
      <w:bookmarkStart w:id="7" w:name="_Toc513538283"/>
      <w:r w:rsidRPr="001D68C8">
        <w:t>ALCANCE</w:t>
      </w:r>
      <w:bookmarkEnd w:id="6"/>
      <w:bookmarkEnd w:id="7"/>
    </w:p>
    <w:p w:rsidR="00D661D3" w:rsidRPr="00D661D3" w:rsidRDefault="00D661D3" w:rsidP="007953B9">
      <w:pPr>
        <w:spacing w:line="276" w:lineRule="auto"/>
        <w:rPr>
          <w:lang w:val="es-CO" w:eastAsia="es-ES"/>
        </w:rPr>
      </w:pPr>
    </w:p>
    <w:p w:rsidR="00137E41" w:rsidRDefault="001E24C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informe fue aplicado a aquellas Secretarías y dependencias de la administración municipal</w:t>
      </w:r>
      <w:r w:rsidR="000F132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que cuenten con funcionarios que figuren como empleados de carrera administrativa ante la </w:t>
      </w:r>
      <w:r w:rsidR="006A567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omisión </w:t>
      </w:r>
      <w:r w:rsidR="006A5674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acional del </w:t>
      </w:r>
      <w:r w:rsidR="006A567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ervicio </w:t>
      </w:r>
      <w:r w:rsidR="006A567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ivil, </w:t>
      </w:r>
      <w:r w:rsidR="000F1327">
        <w:rPr>
          <w:rFonts w:ascii="Verdana" w:hAnsi="Verdana"/>
          <w:sz w:val="24"/>
          <w:szCs w:val="24"/>
        </w:rPr>
        <w:t xml:space="preserve">con el fin de verificar el cumplimiento de los compromisos de los empleados y su contribución con el cumplimiento de las metas institucionales para el periodo comprendido entre el 01 de febrero de 2017 y el 31 de enero de 2018. </w:t>
      </w:r>
    </w:p>
    <w:p w:rsidR="00684EDA" w:rsidRDefault="00684EDA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684EDA" w:rsidRDefault="00684EDA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684EDA" w:rsidRDefault="00684EDA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DD7838" w:rsidRDefault="00DD7838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9A71C6" w:rsidRDefault="00D661D3" w:rsidP="007953B9">
      <w:pPr>
        <w:pStyle w:val="Ttulo2"/>
        <w:numPr>
          <w:ilvl w:val="0"/>
          <w:numId w:val="5"/>
        </w:numPr>
        <w:spacing w:line="276" w:lineRule="auto"/>
      </w:pPr>
      <w:bookmarkStart w:id="8" w:name="_Toc513537945"/>
      <w:bookmarkStart w:id="9" w:name="_Toc513538284"/>
      <w:r>
        <w:t>CRITERIOS DE EVALUACIÓN</w:t>
      </w:r>
      <w:bookmarkEnd w:id="8"/>
      <w:bookmarkEnd w:id="9"/>
    </w:p>
    <w:p w:rsidR="00D661D3" w:rsidRPr="00D661D3" w:rsidRDefault="00D661D3" w:rsidP="007953B9">
      <w:pPr>
        <w:spacing w:line="276" w:lineRule="auto"/>
        <w:rPr>
          <w:lang w:val="es-CO" w:eastAsia="es-ES"/>
        </w:rPr>
      </w:pPr>
    </w:p>
    <w:p w:rsidR="000F1327" w:rsidRDefault="009A71C6" w:rsidP="007953B9">
      <w:pPr>
        <w:pStyle w:val="Ttulo3"/>
        <w:numPr>
          <w:ilvl w:val="1"/>
          <w:numId w:val="5"/>
        </w:numPr>
        <w:spacing w:line="276" w:lineRule="auto"/>
      </w:pPr>
      <w:bookmarkStart w:id="10" w:name="_Toc513537946"/>
      <w:bookmarkStart w:id="11" w:name="_Toc513538285"/>
      <w:r>
        <w:t>PROCETAJES DE COMPONENTES DE LA EVALUACION DEL DESEMPEÑO</w:t>
      </w:r>
      <w:bookmarkEnd w:id="10"/>
      <w:bookmarkEnd w:id="11"/>
    </w:p>
    <w:p w:rsidR="00D93235" w:rsidRDefault="00D93235" w:rsidP="007953B9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7"/>
      </w:tblGrid>
      <w:tr w:rsidR="000F1327" w:rsidTr="00D93235">
        <w:tc>
          <w:tcPr>
            <w:tcW w:w="4489" w:type="dxa"/>
            <w:shd w:val="clear" w:color="auto" w:fill="D5DCE4" w:themeFill="text2" w:themeFillTint="33"/>
          </w:tcPr>
          <w:p w:rsidR="000F1327" w:rsidRDefault="000F1327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CALIFICACION PARA PERIODO ANUAL ORDINARIO</w:t>
            </w:r>
          </w:p>
        </w:tc>
        <w:tc>
          <w:tcPr>
            <w:tcW w:w="4489" w:type="dxa"/>
            <w:shd w:val="clear" w:color="auto" w:fill="D5DCE4" w:themeFill="text2" w:themeFillTint="33"/>
            <w:vAlign w:val="center"/>
          </w:tcPr>
          <w:p w:rsidR="000F1327" w:rsidRDefault="000F1327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PESO PORCENTUAL</w:t>
            </w:r>
          </w:p>
        </w:tc>
      </w:tr>
      <w:tr w:rsidR="000F1327" w:rsidTr="000F1327">
        <w:tc>
          <w:tcPr>
            <w:tcW w:w="4489" w:type="dxa"/>
          </w:tcPr>
          <w:p w:rsidR="000F1327" w:rsidRPr="000F1327" w:rsidRDefault="000F1327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Compromisos laborales</w:t>
            </w:r>
          </w:p>
        </w:tc>
        <w:tc>
          <w:tcPr>
            <w:tcW w:w="4489" w:type="dxa"/>
          </w:tcPr>
          <w:p w:rsidR="000F1327" w:rsidRPr="000F1327" w:rsidRDefault="000F1327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80%</w:t>
            </w:r>
          </w:p>
        </w:tc>
      </w:tr>
      <w:tr w:rsidR="000F1327" w:rsidTr="000F1327">
        <w:tc>
          <w:tcPr>
            <w:tcW w:w="4489" w:type="dxa"/>
          </w:tcPr>
          <w:p w:rsidR="000F1327" w:rsidRPr="000F1327" w:rsidRDefault="000F1327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Competencias comportamentales</w:t>
            </w:r>
          </w:p>
        </w:tc>
        <w:tc>
          <w:tcPr>
            <w:tcW w:w="4489" w:type="dxa"/>
          </w:tcPr>
          <w:p w:rsidR="000F1327" w:rsidRPr="000F1327" w:rsidRDefault="000F1327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10%</w:t>
            </w:r>
          </w:p>
        </w:tc>
      </w:tr>
      <w:tr w:rsidR="000F1327" w:rsidTr="000F1327">
        <w:tc>
          <w:tcPr>
            <w:tcW w:w="4489" w:type="dxa"/>
          </w:tcPr>
          <w:p w:rsidR="000F1327" w:rsidRPr="000F1327" w:rsidRDefault="000F1327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Evaluación de Gestión por Áreas o Dependencias</w:t>
            </w:r>
          </w:p>
        </w:tc>
        <w:tc>
          <w:tcPr>
            <w:tcW w:w="4489" w:type="dxa"/>
            <w:vAlign w:val="center"/>
          </w:tcPr>
          <w:p w:rsidR="000F1327" w:rsidRPr="000F1327" w:rsidRDefault="000F1327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F1327">
              <w:rPr>
                <w:rFonts w:ascii="Verdana" w:hAnsi="Verdana"/>
                <w:sz w:val="24"/>
                <w:szCs w:val="24"/>
              </w:rPr>
              <w:t>10%</w:t>
            </w:r>
          </w:p>
        </w:tc>
      </w:tr>
      <w:tr w:rsidR="000F1327" w:rsidTr="000F1327">
        <w:tc>
          <w:tcPr>
            <w:tcW w:w="4489" w:type="dxa"/>
          </w:tcPr>
          <w:p w:rsidR="000F1327" w:rsidRPr="00CB75CD" w:rsidRDefault="000F1327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B75CD"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0F1327" w:rsidRPr="00CB75CD" w:rsidRDefault="000F1327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B75CD">
              <w:rPr>
                <w:rFonts w:ascii="Verdana" w:hAnsi="Verdana"/>
                <w:b/>
                <w:sz w:val="24"/>
                <w:szCs w:val="24"/>
              </w:rPr>
              <w:t>100%</w:t>
            </w:r>
          </w:p>
        </w:tc>
      </w:tr>
    </w:tbl>
    <w:p w:rsidR="000F1327" w:rsidRDefault="000F1327" w:rsidP="007953B9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CB75CD" w:rsidRPr="00D661D3" w:rsidRDefault="009A71C6" w:rsidP="007953B9">
      <w:pPr>
        <w:pStyle w:val="Ttulo3"/>
        <w:numPr>
          <w:ilvl w:val="1"/>
          <w:numId w:val="5"/>
        </w:numPr>
        <w:spacing w:line="276" w:lineRule="auto"/>
      </w:pPr>
      <w:bookmarkStart w:id="12" w:name="_Toc513537947"/>
      <w:bookmarkStart w:id="13" w:name="_Toc513538286"/>
      <w:r w:rsidRPr="00D661D3">
        <w:t>NIVELES DE CUMPLIMIENTO</w:t>
      </w:r>
      <w:bookmarkEnd w:id="12"/>
      <w:bookmarkEnd w:id="13"/>
    </w:p>
    <w:p w:rsidR="009A71C6" w:rsidRDefault="009A71C6" w:rsidP="007953B9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9A71C6" w:rsidTr="009A71C6">
        <w:tc>
          <w:tcPr>
            <w:tcW w:w="4489" w:type="dxa"/>
            <w:shd w:val="clear" w:color="auto" w:fill="D5DCE4" w:themeFill="text2" w:themeFillTint="33"/>
          </w:tcPr>
          <w:p w:rsidR="009A71C6" w:rsidRDefault="009A71C6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PROCENTAJA</w:t>
            </w:r>
          </w:p>
        </w:tc>
        <w:tc>
          <w:tcPr>
            <w:tcW w:w="4489" w:type="dxa"/>
            <w:shd w:val="clear" w:color="auto" w:fill="D5DCE4" w:themeFill="text2" w:themeFillTint="33"/>
            <w:vAlign w:val="center"/>
          </w:tcPr>
          <w:p w:rsidR="009A71C6" w:rsidRDefault="009A71C6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NIVEL</w:t>
            </w:r>
          </w:p>
        </w:tc>
      </w:tr>
      <w:tr w:rsidR="009A71C6" w:rsidTr="009A71C6">
        <w:tc>
          <w:tcPr>
            <w:tcW w:w="4489" w:type="dxa"/>
          </w:tcPr>
          <w:p w:rsidR="009A71C6" w:rsidRPr="000F1327" w:rsidRDefault="009A71C6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Mayor o igual al 95%</w:t>
            </w:r>
          </w:p>
        </w:tc>
        <w:tc>
          <w:tcPr>
            <w:tcW w:w="4489" w:type="dxa"/>
            <w:vAlign w:val="center"/>
          </w:tcPr>
          <w:p w:rsidR="009A71C6" w:rsidRPr="000F1327" w:rsidRDefault="009A71C6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Sobresaliente</w:t>
            </w:r>
          </w:p>
        </w:tc>
      </w:tr>
      <w:tr w:rsidR="009A71C6" w:rsidTr="009A71C6">
        <w:tc>
          <w:tcPr>
            <w:tcW w:w="4489" w:type="dxa"/>
          </w:tcPr>
          <w:p w:rsidR="009A71C6" w:rsidRPr="000F1327" w:rsidRDefault="009A71C6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Mayor o igual a 80% y menor de 95%</w:t>
            </w:r>
          </w:p>
        </w:tc>
        <w:tc>
          <w:tcPr>
            <w:tcW w:w="4489" w:type="dxa"/>
            <w:vAlign w:val="center"/>
          </w:tcPr>
          <w:p w:rsidR="009A71C6" w:rsidRPr="000F1327" w:rsidRDefault="009A71C6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Destacado</w:t>
            </w:r>
          </w:p>
        </w:tc>
      </w:tr>
      <w:tr w:rsidR="009A71C6" w:rsidTr="009A71C6">
        <w:tc>
          <w:tcPr>
            <w:tcW w:w="4489" w:type="dxa"/>
          </w:tcPr>
          <w:p w:rsidR="009A71C6" w:rsidRPr="000F1327" w:rsidRDefault="009A71C6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Mayor del 65% y menor que el 80%</w:t>
            </w:r>
          </w:p>
        </w:tc>
        <w:tc>
          <w:tcPr>
            <w:tcW w:w="4489" w:type="dxa"/>
            <w:vAlign w:val="center"/>
          </w:tcPr>
          <w:p w:rsidR="009A71C6" w:rsidRPr="000F1327" w:rsidRDefault="009A71C6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Satisfactorio </w:t>
            </w:r>
          </w:p>
        </w:tc>
      </w:tr>
      <w:tr w:rsidR="009A71C6" w:rsidTr="009A71C6">
        <w:tc>
          <w:tcPr>
            <w:tcW w:w="4489" w:type="dxa"/>
          </w:tcPr>
          <w:p w:rsidR="009A71C6" w:rsidRPr="009A71C6" w:rsidRDefault="009A71C6" w:rsidP="007953B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Menor o igual a 65%</w:t>
            </w:r>
          </w:p>
        </w:tc>
        <w:tc>
          <w:tcPr>
            <w:tcW w:w="4489" w:type="dxa"/>
          </w:tcPr>
          <w:p w:rsidR="009A71C6" w:rsidRPr="009A71C6" w:rsidRDefault="009A71C6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A71C6">
              <w:rPr>
                <w:rFonts w:ascii="Verdana" w:hAnsi="Verdana"/>
                <w:sz w:val="24"/>
                <w:szCs w:val="24"/>
              </w:rPr>
              <w:t>No Satisfactorio</w:t>
            </w:r>
          </w:p>
        </w:tc>
      </w:tr>
    </w:tbl>
    <w:p w:rsidR="00CB75CD" w:rsidRDefault="00CB75CD" w:rsidP="007953B9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CB75CD" w:rsidRDefault="00CB75CD" w:rsidP="007953B9">
      <w:pPr>
        <w:pStyle w:val="Ttulo2"/>
        <w:numPr>
          <w:ilvl w:val="0"/>
          <w:numId w:val="5"/>
        </w:numPr>
        <w:spacing w:line="276" w:lineRule="auto"/>
      </w:pPr>
      <w:bookmarkStart w:id="14" w:name="_Toc513537948"/>
      <w:bookmarkStart w:id="15" w:name="_Toc513538287"/>
      <w:r>
        <w:t>PROCESO DE EVALUACI</w:t>
      </w:r>
      <w:r w:rsidR="009A71C6">
        <w:t>Ó</w:t>
      </w:r>
      <w:r>
        <w:t>N</w:t>
      </w:r>
      <w:bookmarkEnd w:id="14"/>
      <w:bookmarkEnd w:id="15"/>
      <w:r>
        <w:t xml:space="preserve"> </w:t>
      </w:r>
    </w:p>
    <w:p w:rsidR="00D661D3" w:rsidRPr="00D661D3" w:rsidRDefault="00D661D3" w:rsidP="007953B9">
      <w:pPr>
        <w:spacing w:line="276" w:lineRule="auto"/>
        <w:rPr>
          <w:lang w:val="es-CO" w:eastAsia="es-ES"/>
        </w:rPr>
      </w:pPr>
    </w:p>
    <w:p w:rsidR="001C4C57" w:rsidRPr="001C4C57" w:rsidRDefault="001C4C5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sz w:val="24"/>
          <w:szCs w:val="24"/>
        </w:rPr>
        <w:lastRenderedPageBreak/>
        <w:t xml:space="preserve">Se llevó a cabo el proceso de evaluación de desempeño laboral y comportamental de los funcionarios de carrera administrativa de la </w:t>
      </w:r>
      <w:r w:rsidR="000F1327">
        <w:rPr>
          <w:rFonts w:ascii="Verdana" w:hAnsi="Verdana"/>
          <w:sz w:val="24"/>
          <w:szCs w:val="24"/>
        </w:rPr>
        <w:t>A</w:t>
      </w:r>
      <w:r w:rsidRPr="001C4C57">
        <w:rPr>
          <w:rFonts w:ascii="Verdana" w:hAnsi="Verdana"/>
          <w:sz w:val="24"/>
          <w:szCs w:val="24"/>
        </w:rPr>
        <w:t>lcaldía de Montería, correspondiente al</w:t>
      </w:r>
      <w:r w:rsidR="00354A64">
        <w:rPr>
          <w:rFonts w:ascii="Verdana" w:hAnsi="Verdana"/>
          <w:sz w:val="24"/>
          <w:szCs w:val="24"/>
        </w:rPr>
        <w:t xml:space="preserve"> periodo 2017 – 2018,</w:t>
      </w:r>
      <w:r w:rsidR="008A7899">
        <w:rPr>
          <w:rFonts w:ascii="Verdana" w:hAnsi="Verdana"/>
          <w:sz w:val="24"/>
          <w:szCs w:val="24"/>
        </w:rPr>
        <w:t xml:space="preserve"> comprendido entre el 01 de febrero</w:t>
      </w:r>
      <w:r w:rsidR="00DD7838">
        <w:rPr>
          <w:rFonts w:ascii="Verdana" w:hAnsi="Verdana"/>
          <w:sz w:val="24"/>
          <w:szCs w:val="24"/>
        </w:rPr>
        <w:t xml:space="preserve"> de 2017</w:t>
      </w:r>
      <w:r w:rsidR="008A7899">
        <w:rPr>
          <w:rFonts w:ascii="Verdana" w:hAnsi="Verdana"/>
          <w:sz w:val="24"/>
          <w:szCs w:val="24"/>
        </w:rPr>
        <w:t xml:space="preserve"> y el 31 de </w:t>
      </w:r>
      <w:r w:rsidR="00DD7838">
        <w:rPr>
          <w:rFonts w:ascii="Verdana" w:hAnsi="Verdana"/>
          <w:sz w:val="24"/>
          <w:szCs w:val="24"/>
        </w:rPr>
        <w:t>enero</w:t>
      </w:r>
      <w:r w:rsidR="008A7899">
        <w:rPr>
          <w:rFonts w:ascii="Verdana" w:hAnsi="Verdana"/>
          <w:sz w:val="24"/>
          <w:szCs w:val="24"/>
        </w:rPr>
        <w:t xml:space="preserve"> de 201</w:t>
      </w:r>
      <w:r w:rsidR="00DD7838">
        <w:rPr>
          <w:rFonts w:ascii="Verdana" w:hAnsi="Verdana"/>
          <w:sz w:val="24"/>
          <w:szCs w:val="24"/>
        </w:rPr>
        <w:t>8</w:t>
      </w:r>
      <w:r w:rsidRPr="001C4C57">
        <w:rPr>
          <w:rFonts w:ascii="Verdana" w:hAnsi="Verdana"/>
          <w:sz w:val="24"/>
          <w:szCs w:val="24"/>
        </w:rPr>
        <w:t>, usando como herramienta</w:t>
      </w:r>
      <w:r w:rsidR="008A7899">
        <w:rPr>
          <w:rFonts w:ascii="Verdana" w:hAnsi="Verdana"/>
          <w:sz w:val="24"/>
          <w:szCs w:val="24"/>
        </w:rPr>
        <w:t xml:space="preserve"> el Sistema Tipo de Evaluación de desempeño Laboral</w:t>
      </w:r>
      <w:r w:rsidR="00C62410">
        <w:rPr>
          <w:rFonts w:ascii="Verdana" w:hAnsi="Verdana"/>
          <w:sz w:val="24"/>
          <w:szCs w:val="24"/>
        </w:rPr>
        <w:t xml:space="preserve">, </w:t>
      </w:r>
      <w:r w:rsidR="00E14B76">
        <w:rPr>
          <w:rFonts w:ascii="Verdana" w:hAnsi="Verdana"/>
          <w:sz w:val="24"/>
          <w:szCs w:val="24"/>
        </w:rPr>
        <w:t xml:space="preserve">de acuerdo con los lineamientos </w:t>
      </w:r>
      <w:r w:rsidR="008A7899">
        <w:rPr>
          <w:rFonts w:ascii="Verdana" w:hAnsi="Verdana"/>
          <w:sz w:val="24"/>
          <w:szCs w:val="24"/>
        </w:rPr>
        <w:t>establecido</w:t>
      </w:r>
      <w:r w:rsidR="00E14B76">
        <w:rPr>
          <w:rFonts w:ascii="Verdana" w:hAnsi="Verdana"/>
          <w:sz w:val="24"/>
          <w:szCs w:val="24"/>
        </w:rPr>
        <w:t>s en el acuerdo 565 de 2016 de</w:t>
      </w:r>
      <w:r w:rsidR="008A7899">
        <w:rPr>
          <w:rFonts w:ascii="Verdana" w:hAnsi="Verdana"/>
          <w:sz w:val="24"/>
          <w:szCs w:val="24"/>
        </w:rPr>
        <w:t xml:space="preserve"> la Comisión Nacional de Servicio Civil (CNSC).</w:t>
      </w:r>
    </w:p>
    <w:p w:rsidR="001C4C57" w:rsidRPr="001C4C57" w:rsidRDefault="001C4C5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sz w:val="24"/>
          <w:szCs w:val="24"/>
        </w:rPr>
        <w:t xml:space="preserve">La evaluación se aplicó a </w:t>
      </w:r>
      <w:r w:rsidR="00C62410">
        <w:rPr>
          <w:rFonts w:ascii="Verdana" w:hAnsi="Verdana"/>
          <w:sz w:val="24"/>
          <w:szCs w:val="24"/>
        </w:rPr>
        <w:t xml:space="preserve">un total de 32 </w:t>
      </w:r>
      <w:r w:rsidRPr="001C4C57">
        <w:rPr>
          <w:rFonts w:ascii="Verdana" w:hAnsi="Verdana"/>
          <w:sz w:val="24"/>
          <w:szCs w:val="24"/>
        </w:rPr>
        <w:t>funcionarios de la</w:t>
      </w:r>
      <w:r w:rsidR="00C62410">
        <w:rPr>
          <w:rFonts w:ascii="Verdana" w:hAnsi="Verdana"/>
          <w:sz w:val="24"/>
          <w:szCs w:val="24"/>
        </w:rPr>
        <w:t xml:space="preserve"> alcaldía municipal de Montería, ubicados en las siguientes dependencias</w:t>
      </w:r>
      <w:r w:rsidRPr="001C4C57">
        <w:rPr>
          <w:rFonts w:ascii="Verdana" w:hAnsi="Verdana"/>
          <w:sz w:val="24"/>
          <w:szCs w:val="24"/>
        </w:rPr>
        <w:t xml:space="preserve">:    </w:t>
      </w:r>
    </w:p>
    <w:p w:rsidR="005134D8" w:rsidRPr="004F3410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Pr="001C4C57">
        <w:rPr>
          <w:rFonts w:ascii="Verdana" w:hAnsi="Verdana"/>
          <w:sz w:val="24"/>
          <w:szCs w:val="24"/>
        </w:rPr>
        <w:t>a General</w:t>
      </w:r>
    </w:p>
    <w:p w:rsidR="001C4C57" w:rsidRPr="001C4C57" w:rsidRDefault="001C4C57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sz w:val="24"/>
          <w:szCs w:val="24"/>
        </w:rPr>
        <w:t>S</w:t>
      </w:r>
      <w:r w:rsidR="004F3410">
        <w:rPr>
          <w:rFonts w:ascii="Verdana" w:hAnsi="Verdana"/>
          <w:sz w:val="24"/>
          <w:szCs w:val="24"/>
        </w:rPr>
        <w:t>ecretarí</w:t>
      </w:r>
      <w:r w:rsidRPr="001C4C57">
        <w:rPr>
          <w:rFonts w:ascii="Verdana" w:hAnsi="Verdana"/>
          <w:sz w:val="24"/>
          <w:szCs w:val="24"/>
        </w:rPr>
        <w:t>a de Gobierno</w:t>
      </w:r>
    </w:p>
    <w:p w:rsidR="001C4C57" w:rsidRPr="001C4C57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1C4C57" w:rsidRPr="001C4C57">
        <w:rPr>
          <w:rFonts w:ascii="Verdana" w:hAnsi="Verdana"/>
          <w:sz w:val="24"/>
          <w:szCs w:val="24"/>
        </w:rPr>
        <w:t>a de Hacienda</w:t>
      </w:r>
    </w:p>
    <w:p w:rsidR="001C4C57" w:rsidRPr="001C4C57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1C4C57" w:rsidRPr="001C4C57">
        <w:rPr>
          <w:rFonts w:ascii="Verdana" w:hAnsi="Verdana"/>
          <w:sz w:val="24"/>
          <w:szCs w:val="24"/>
        </w:rPr>
        <w:t>a Jurídica</w:t>
      </w:r>
    </w:p>
    <w:p w:rsidR="001C4C57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1C4C57" w:rsidRPr="001C4C57">
        <w:rPr>
          <w:rFonts w:ascii="Verdana" w:hAnsi="Verdana"/>
          <w:sz w:val="24"/>
          <w:szCs w:val="24"/>
        </w:rPr>
        <w:t>a de Planeación</w:t>
      </w:r>
    </w:p>
    <w:p w:rsidR="00C62410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C62410" w:rsidRPr="001C4C57">
        <w:rPr>
          <w:rFonts w:ascii="Verdana" w:hAnsi="Verdana"/>
          <w:sz w:val="24"/>
          <w:szCs w:val="24"/>
        </w:rPr>
        <w:t>a de Educación</w:t>
      </w:r>
    </w:p>
    <w:p w:rsidR="00C62410" w:rsidRPr="00C62410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C62410">
        <w:rPr>
          <w:rFonts w:ascii="Verdana" w:hAnsi="Verdana"/>
          <w:sz w:val="24"/>
          <w:szCs w:val="24"/>
        </w:rPr>
        <w:t>a de Infraestructura</w:t>
      </w:r>
    </w:p>
    <w:p w:rsidR="001C4C57" w:rsidRPr="001C4C57" w:rsidRDefault="001C4C57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sz w:val="24"/>
          <w:szCs w:val="24"/>
        </w:rPr>
        <w:t>S</w:t>
      </w:r>
      <w:r w:rsidR="004F3410">
        <w:rPr>
          <w:rFonts w:ascii="Verdana" w:hAnsi="Verdana"/>
          <w:sz w:val="24"/>
          <w:szCs w:val="24"/>
        </w:rPr>
        <w:t>ecretarí</w:t>
      </w:r>
      <w:r w:rsidRPr="001C4C57">
        <w:rPr>
          <w:rFonts w:ascii="Verdana" w:hAnsi="Verdana"/>
          <w:sz w:val="24"/>
          <w:szCs w:val="24"/>
        </w:rPr>
        <w:t>a de Salud</w:t>
      </w:r>
    </w:p>
    <w:p w:rsidR="001C4C57" w:rsidRPr="001C4C57" w:rsidRDefault="004F3410" w:rsidP="007953B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Secretarí</w:t>
      </w:r>
      <w:r w:rsidR="001C4C57" w:rsidRPr="001C4C57">
        <w:rPr>
          <w:rFonts w:ascii="Verdana" w:hAnsi="Verdana"/>
          <w:sz w:val="24"/>
          <w:szCs w:val="24"/>
        </w:rPr>
        <w:t xml:space="preserve">a de </w:t>
      </w:r>
      <w:r w:rsidR="00354A64">
        <w:rPr>
          <w:rFonts w:ascii="Verdana" w:hAnsi="Verdana"/>
          <w:sz w:val="24"/>
          <w:szCs w:val="24"/>
        </w:rPr>
        <w:t>Tránsito y Transporte</w:t>
      </w:r>
    </w:p>
    <w:p w:rsidR="001C4C57" w:rsidRPr="001C4C57" w:rsidRDefault="00354A6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proceso</w:t>
      </w:r>
      <w:r w:rsidR="001C4C57" w:rsidRPr="001C4C57">
        <w:rPr>
          <w:rFonts w:ascii="Verdana" w:hAnsi="Verdana"/>
          <w:sz w:val="24"/>
          <w:szCs w:val="24"/>
        </w:rPr>
        <w:t xml:space="preserve"> se realizó de la siguiente forma:</w:t>
      </w:r>
    </w:p>
    <w:p w:rsidR="001C4C57" w:rsidRPr="001C4C57" w:rsidRDefault="001C4C5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b/>
          <w:sz w:val="24"/>
          <w:szCs w:val="24"/>
        </w:rPr>
        <w:t>PRIMERO</w:t>
      </w:r>
      <w:r w:rsidR="00C62410">
        <w:rPr>
          <w:rFonts w:ascii="Verdana" w:hAnsi="Verdana"/>
          <w:sz w:val="24"/>
          <w:szCs w:val="24"/>
        </w:rPr>
        <w:t>: se concertaron</w:t>
      </w:r>
      <w:r w:rsidRPr="001C4C57">
        <w:rPr>
          <w:rFonts w:ascii="Verdana" w:hAnsi="Verdana"/>
          <w:sz w:val="24"/>
          <w:szCs w:val="24"/>
        </w:rPr>
        <w:t xml:space="preserve"> con cada uno de los funcionarios y sus evaluadores los compromisos</w:t>
      </w:r>
      <w:r w:rsidR="00E14B76">
        <w:rPr>
          <w:rFonts w:ascii="Verdana" w:hAnsi="Verdana"/>
          <w:sz w:val="24"/>
          <w:szCs w:val="24"/>
        </w:rPr>
        <w:t xml:space="preserve"> laborales</w:t>
      </w:r>
      <w:r w:rsidR="005230E8">
        <w:rPr>
          <w:rFonts w:ascii="Verdana" w:hAnsi="Verdana"/>
          <w:sz w:val="24"/>
          <w:szCs w:val="24"/>
        </w:rPr>
        <w:t xml:space="preserve">, </w:t>
      </w:r>
      <w:r w:rsidR="00E14B76">
        <w:rPr>
          <w:rFonts w:ascii="Verdana" w:hAnsi="Verdana"/>
          <w:sz w:val="24"/>
          <w:szCs w:val="24"/>
        </w:rPr>
        <w:t>se dieron a conocer las competencias compor</w:t>
      </w:r>
      <w:r w:rsidR="00354A64">
        <w:rPr>
          <w:rFonts w:ascii="Verdana" w:hAnsi="Verdana"/>
          <w:sz w:val="24"/>
          <w:szCs w:val="24"/>
        </w:rPr>
        <w:t xml:space="preserve">tamentales objeto de evaluación, </w:t>
      </w:r>
      <w:r w:rsidR="00E14B76">
        <w:rPr>
          <w:rFonts w:ascii="Verdana" w:hAnsi="Verdana"/>
          <w:sz w:val="24"/>
          <w:szCs w:val="24"/>
        </w:rPr>
        <w:t xml:space="preserve">aplicables al cargo del evaluado y </w:t>
      </w:r>
      <w:r w:rsidRPr="001C4C57">
        <w:rPr>
          <w:rFonts w:ascii="Verdana" w:hAnsi="Verdana"/>
          <w:sz w:val="24"/>
          <w:szCs w:val="24"/>
        </w:rPr>
        <w:t>se fijaron los porcentajes sobre l</w:t>
      </w:r>
      <w:r w:rsidR="00E14B76">
        <w:rPr>
          <w:rFonts w:ascii="Verdana" w:hAnsi="Verdana"/>
          <w:sz w:val="24"/>
          <w:szCs w:val="24"/>
        </w:rPr>
        <w:t>os cuales posteriormente se realizó la</w:t>
      </w:r>
      <w:r w:rsidRPr="001C4C57">
        <w:rPr>
          <w:rFonts w:ascii="Verdana" w:hAnsi="Verdana"/>
          <w:sz w:val="24"/>
          <w:szCs w:val="24"/>
        </w:rPr>
        <w:t xml:space="preserve"> calificación</w:t>
      </w:r>
      <w:r w:rsidR="005230E8">
        <w:rPr>
          <w:rFonts w:ascii="Verdana" w:hAnsi="Verdana"/>
          <w:sz w:val="24"/>
          <w:szCs w:val="24"/>
        </w:rPr>
        <w:t xml:space="preserve">, esta etapa se ejecuto para la fecha del 28 de febrero de 2017. </w:t>
      </w:r>
    </w:p>
    <w:p w:rsidR="001C4C57" w:rsidRPr="00C62410" w:rsidRDefault="001C4C5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b/>
          <w:sz w:val="24"/>
          <w:szCs w:val="24"/>
        </w:rPr>
        <w:t>SEGUNDO:</w:t>
      </w:r>
      <w:r w:rsidRPr="001C4C57">
        <w:rPr>
          <w:rFonts w:ascii="Verdana" w:hAnsi="Verdana"/>
          <w:sz w:val="24"/>
          <w:szCs w:val="24"/>
        </w:rPr>
        <w:t xml:space="preserve"> se </w:t>
      </w:r>
      <w:r w:rsidR="005D0757">
        <w:rPr>
          <w:rFonts w:ascii="Verdana" w:hAnsi="Verdana"/>
          <w:sz w:val="24"/>
          <w:szCs w:val="24"/>
        </w:rPr>
        <w:t>recolectaron</w:t>
      </w:r>
      <w:r w:rsidRPr="001C4C57">
        <w:rPr>
          <w:rFonts w:ascii="Verdana" w:hAnsi="Verdana"/>
          <w:sz w:val="24"/>
          <w:szCs w:val="24"/>
        </w:rPr>
        <w:t xml:space="preserve"> las evidencias </w:t>
      </w:r>
      <w:r w:rsidR="005D0757">
        <w:rPr>
          <w:rFonts w:ascii="Verdana" w:hAnsi="Verdana"/>
          <w:sz w:val="24"/>
          <w:szCs w:val="24"/>
        </w:rPr>
        <w:t>generadas durante el periodo de evaluación</w:t>
      </w:r>
      <w:r w:rsidR="008F140C">
        <w:rPr>
          <w:rFonts w:ascii="Verdana" w:hAnsi="Verdana"/>
          <w:sz w:val="24"/>
          <w:szCs w:val="24"/>
        </w:rPr>
        <w:t xml:space="preserve"> comprendido entre el 01 de febrero de 2017 y el 31 de julio de 2017, </w:t>
      </w:r>
      <w:r w:rsidR="005D0757">
        <w:rPr>
          <w:rFonts w:ascii="Verdana" w:hAnsi="Verdana"/>
          <w:sz w:val="24"/>
          <w:szCs w:val="24"/>
        </w:rPr>
        <w:t xml:space="preserve">para determinar el cumplimiento de cada de los compromisos laborales concertados y el desarrollo de las competencias </w:t>
      </w:r>
      <w:r w:rsidR="005D0757">
        <w:rPr>
          <w:rFonts w:ascii="Verdana" w:hAnsi="Verdana"/>
          <w:sz w:val="24"/>
          <w:szCs w:val="24"/>
        </w:rPr>
        <w:lastRenderedPageBreak/>
        <w:t>comportamentales, posteriormente estas evidencias son incorporadas en el portafolio de evidencias.</w:t>
      </w:r>
    </w:p>
    <w:p w:rsidR="001C4C57" w:rsidRDefault="001C4C57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C4C57">
        <w:rPr>
          <w:rFonts w:ascii="Verdana" w:hAnsi="Verdana"/>
          <w:b/>
          <w:sz w:val="24"/>
          <w:szCs w:val="24"/>
        </w:rPr>
        <w:t>TERCERO:</w:t>
      </w:r>
      <w:r w:rsidRPr="001C4C57">
        <w:rPr>
          <w:rFonts w:ascii="Verdana" w:hAnsi="Verdana"/>
          <w:sz w:val="24"/>
          <w:szCs w:val="24"/>
        </w:rPr>
        <w:t xml:space="preserve"> se realizó junto con los jefes inmediatos y secretarios de despacho de cada dependencia la respectiva calificación</w:t>
      </w:r>
      <w:r w:rsidR="005230E8">
        <w:rPr>
          <w:rFonts w:ascii="Verdana" w:hAnsi="Verdana"/>
          <w:sz w:val="24"/>
          <w:szCs w:val="24"/>
        </w:rPr>
        <w:t xml:space="preserve"> de la primera evaluación parcial</w:t>
      </w:r>
      <w:r w:rsidR="008F140C">
        <w:rPr>
          <w:rFonts w:ascii="Verdana" w:hAnsi="Verdana"/>
          <w:sz w:val="24"/>
          <w:szCs w:val="24"/>
        </w:rPr>
        <w:t xml:space="preserve"> correspondiente al semestre I-2017</w:t>
      </w:r>
      <w:r w:rsidR="005230E8">
        <w:rPr>
          <w:rFonts w:ascii="Verdana" w:hAnsi="Verdana"/>
          <w:sz w:val="24"/>
          <w:szCs w:val="24"/>
        </w:rPr>
        <w:t xml:space="preserve"> </w:t>
      </w:r>
      <w:r w:rsidRPr="001C4C57">
        <w:rPr>
          <w:rFonts w:ascii="Verdana" w:hAnsi="Verdana"/>
          <w:sz w:val="24"/>
          <w:szCs w:val="24"/>
        </w:rPr>
        <w:t>(en esta parte</w:t>
      </w:r>
      <w:r w:rsidR="005230E8">
        <w:rPr>
          <w:rFonts w:ascii="Verdana" w:hAnsi="Verdana"/>
          <w:sz w:val="24"/>
          <w:szCs w:val="24"/>
        </w:rPr>
        <w:t xml:space="preserve">, </w:t>
      </w:r>
      <w:r w:rsidRPr="001C4C57">
        <w:rPr>
          <w:rFonts w:ascii="Verdana" w:hAnsi="Verdana"/>
          <w:sz w:val="24"/>
          <w:szCs w:val="24"/>
        </w:rPr>
        <w:t xml:space="preserve">se hace el pertinente análisis de resultados, la socialización evaluativa y se proceden a firmar </w:t>
      </w:r>
      <w:r w:rsidR="005230E8">
        <w:rPr>
          <w:rFonts w:ascii="Verdana" w:hAnsi="Verdana"/>
          <w:sz w:val="24"/>
          <w:szCs w:val="24"/>
        </w:rPr>
        <w:t>el formato F6-Reporte de calificación periodo anual ordinario</w:t>
      </w:r>
      <w:r w:rsidRPr="001C4C57">
        <w:rPr>
          <w:rFonts w:ascii="Verdana" w:hAnsi="Verdana"/>
          <w:sz w:val="24"/>
          <w:szCs w:val="24"/>
        </w:rPr>
        <w:t xml:space="preserve"> </w:t>
      </w:r>
      <w:r w:rsidR="005230E8">
        <w:rPr>
          <w:rFonts w:ascii="Verdana" w:hAnsi="Verdana"/>
          <w:sz w:val="24"/>
          <w:szCs w:val="24"/>
        </w:rPr>
        <w:t>con el fin de</w:t>
      </w:r>
      <w:r w:rsidRPr="001C4C57">
        <w:rPr>
          <w:rFonts w:ascii="Verdana" w:hAnsi="Verdana"/>
          <w:sz w:val="24"/>
          <w:szCs w:val="24"/>
        </w:rPr>
        <w:t xml:space="preserve"> evidencia</w:t>
      </w:r>
      <w:r w:rsidR="005230E8">
        <w:rPr>
          <w:rFonts w:ascii="Verdana" w:hAnsi="Verdana"/>
          <w:sz w:val="24"/>
          <w:szCs w:val="24"/>
        </w:rPr>
        <w:t>r</w:t>
      </w:r>
      <w:r w:rsidRPr="001C4C57">
        <w:rPr>
          <w:rFonts w:ascii="Verdana" w:hAnsi="Verdana"/>
          <w:sz w:val="24"/>
          <w:szCs w:val="24"/>
        </w:rPr>
        <w:t xml:space="preserve"> la realización del proceso).</w:t>
      </w:r>
    </w:p>
    <w:p w:rsidR="008F140C" w:rsidRDefault="008F140C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resultados de la primera evaluación parcial se muestra</w:t>
      </w:r>
      <w:r w:rsidR="00327040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en la tabla</w:t>
      </w:r>
      <w:r w:rsidR="00445AF6">
        <w:rPr>
          <w:rFonts w:ascii="Verdana" w:hAnsi="Verdana"/>
          <w:sz w:val="24"/>
          <w:szCs w:val="24"/>
        </w:rPr>
        <w:t xml:space="preserve"> calificación parcial y definitiva 2017-2018</w:t>
      </w:r>
      <w:r>
        <w:rPr>
          <w:rFonts w:ascii="Verdana" w:hAnsi="Verdana"/>
          <w:sz w:val="24"/>
          <w:szCs w:val="24"/>
        </w:rPr>
        <w:t>.</w:t>
      </w:r>
    </w:p>
    <w:p w:rsidR="008F140C" w:rsidRPr="00C62410" w:rsidRDefault="005230E8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230E8">
        <w:rPr>
          <w:rFonts w:ascii="Verdana" w:hAnsi="Verdana"/>
          <w:b/>
          <w:sz w:val="24"/>
          <w:szCs w:val="24"/>
        </w:rPr>
        <w:t>CUARTO</w:t>
      </w:r>
      <w:r>
        <w:rPr>
          <w:rFonts w:ascii="Verdana" w:hAnsi="Verdana"/>
          <w:b/>
          <w:sz w:val="24"/>
          <w:szCs w:val="24"/>
        </w:rPr>
        <w:t>:</w:t>
      </w:r>
      <w:r w:rsidR="008F140C">
        <w:rPr>
          <w:rFonts w:ascii="Verdana" w:hAnsi="Verdana"/>
          <w:b/>
          <w:sz w:val="24"/>
          <w:szCs w:val="24"/>
        </w:rPr>
        <w:t xml:space="preserve"> </w:t>
      </w:r>
      <w:r w:rsidR="008F140C" w:rsidRPr="001C4C57">
        <w:rPr>
          <w:rFonts w:ascii="Verdana" w:hAnsi="Verdana"/>
          <w:sz w:val="24"/>
          <w:szCs w:val="24"/>
        </w:rPr>
        <w:t xml:space="preserve">se </w:t>
      </w:r>
      <w:r w:rsidR="008F140C">
        <w:rPr>
          <w:rFonts w:ascii="Verdana" w:hAnsi="Verdana"/>
          <w:sz w:val="24"/>
          <w:szCs w:val="24"/>
        </w:rPr>
        <w:t>recolectaron</w:t>
      </w:r>
      <w:r w:rsidR="008F140C" w:rsidRPr="001C4C57">
        <w:rPr>
          <w:rFonts w:ascii="Verdana" w:hAnsi="Verdana"/>
          <w:sz w:val="24"/>
          <w:szCs w:val="24"/>
        </w:rPr>
        <w:t xml:space="preserve"> las evidencias </w:t>
      </w:r>
      <w:r w:rsidR="008F140C">
        <w:rPr>
          <w:rFonts w:ascii="Verdana" w:hAnsi="Verdana"/>
          <w:sz w:val="24"/>
          <w:szCs w:val="24"/>
        </w:rPr>
        <w:t>generadas durante el segundo semestre de 2017, comprendido entre el 01 de agosto de 2017 y el 31 de enero de 2018, para determinar el cumplimiento de cada de los compromisos laborales concertados y el desarrollo de las competencias comportamentales, posteriormente estas evidencias son incorporadas en el portafolio de evidencias.</w:t>
      </w:r>
    </w:p>
    <w:p w:rsidR="008F140C" w:rsidRDefault="008F140C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QUINTO: </w:t>
      </w:r>
      <w:r w:rsidRPr="001C4C57">
        <w:rPr>
          <w:rFonts w:ascii="Verdana" w:hAnsi="Verdana"/>
          <w:sz w:val="24"/>
          <w:szCs w:val="24"/>
        </w:rPr>
        <w:t>se realizó junto con los jefes inmediatos y secretarios de despacho de cada dependencia la respectiva calificación</w:t>
      </w:r>
      <w:r>
        <w:rPr>
          <w:rFonts w:ascii="Verdana" w:hAnsi="Verdana"/>
          <w:sz w:val="24"/>
          <w:szCs w:val="24"/>
        </w:rPr>
        <w:t xml:space="preserve"> de la primera evaluación parcial correspondiente al semestre II-2017 </w:t>
      </w:r>
      <w:r w:rsidRPr="001C4C57">
        <w:rPr>
          <w:rFonts w:ascii="Verdana" w:hAnsi="Verdana"/>
          <w:sz w:val="24"/>
          <w:szCs w:val="24"/>
        </w:rPr>
        <w:t>(en esta parte</w:t>
      </w:r>
      <w:r w:rsidR="00841B4C">
        <w:rPr>
          <w:rFonts w:ascii="Verdana" w:hAnsi="Verdana"/>
          <w:sz w:val="24"/>
          <w:szCs w:val="24"/>
        </w:rPr>
        <w:t xml:space="preserve"> </w:t>
      </w:r>
      <w:r w:rsidRPr="001C4C57">
        <w:rPr>
          <w:rFonts w:ascii="Verdana" w:hAnsi="Verdana"/>
          <w:sz w:val="24"/>
          <w:szCs w:val="24"/>
        </w:rPr>
        <w:t xml:space="preserve">se hace el pertinente análisis de resultados, la socialización evaluativa y se proceden a firmar </w:t>
      </w:r>
      <w:r>
        <w:rPr>
          <w:rFonts w:ascii="Verdana" w:hAnsi="Verdana"/>
          <w:sz w:val="24"/>
          <w:szCs w:val="24"/>
        </w:rPr>
        <w:t xml:space="preserve">los formatos pertinentes con el fin de </w:t>
      </w:r>
      <w:r w:rsidRPr="001C4C57">
        <w:rPr>
          <w:rFonts w:ascii="Verdana" w:hAnsi="Verdana"/>
          <w:sz w:val="24"/>
          <w:szCs w:val="24"/>
        </w:rPr>
        <w:t>evidencia</w:t>
      </w:r>
      <w:r>
        <w:rPr>
          <w:rFonts w:ascii="Verdana" w:hAnsi="Verdana"/>
          <w:sz w:val="24"/>
          <w:szCs w:val="24"/>
        </w:rPr>
        <w:t>r</w:t>
      </w:r>
      <w:r w:rsidRPr="001C4C57">
        <w:rPr>
          <w:rFonts w:ascii="Verdana" w:hAnsi="Verdana"/>
          <w:sz w:val="24"/>
          <w:szCs w:val="24"/>
        </w:rPr>
        <w:t xml:space="preserve"> la realización del proceso).</w:t>
      </w:r>
    </w:p>
    <w:p w:rsidR="005C43AD" w:rsidRDefault="005C43AD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5C43AD" w:rsidRDefault="005C43AD" w:rsidP="007953B9">
      <w:pPr>
        <w:pStyle w:val="Ttulo2"/>
        <w:numPr>
          <w:ilvl w:val="0"/>
          <w:numId w:val="5"/>
        </w:numPr>
        <w:spacing w:line="276" w:lineRule="auto"/>
      </w:pPr>
      <w:bookmarkStart w:id="16" w:name="_Toc513537949"/>
      <w:bookmarkStart w:id="17" w:name="_Toc513538288"/>
      <w:r w:rsidRPr="005C43AD">
        <w:t>EVALUACIÓN DE GESTIÓN POR ÁREAS O DEPENDENCIAS</w:t>
      </w:r>
      <w:bookmarkEnd w:id="16"/>
      <w:bookmarkEnd w:id="17"/>
    </w:p>
    <w:p w:rsidR="00D661D3" w:rsidRPr="00D661D3" w:rsidRDefault="00D661D3" w:rsidP="007953B9">
      <w:pPr>
        <w:spacing w:line="276" w:lineRule="auto"/>
        <w:rPr>
          <w:lang w:val="es-CO" w:eastAsia="es-ES"/>
        </w:rPr>
      </w:pPr>
    </w:p>
    <w:p w:rsidR="00692D52" w:rsidRDefault="00176F46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evaluación se realiza anualmente y es ejecutada por la Oficia de Control interno en la vigencia de 2017, determina el nivel de</w:t>
      </w:r>
      <w:r w:rsidR="0048640C">
        <w:rPr>
          <w:rFonts w:ascii="Verdana" w:hAnsi="Verdana"/>
          <w:sz w:val="24"/>
          <w:szCs w:val="24"/>
        </w:rPr>
        <w:t xml:space="preserve"> ejecución de cada una de las dependencias teniendo en cuenta las fortalezas y debilidades detectadas en el ejercicio de seguimiento, esta evaluación </w:t>
      </w:r>
      <w:r w:rsidR="0048640C">
        <w:rPr>
          <w:rFonts w:ascii="Verdana" w:hAnsi="Verdana"/>
          <w:sz w:val="24"/>
          <w:szCs w:val="24"/>
        </w:rPr>
        <w:lastRenderedPageBreak/>
        <w:t>tiene un peso porcentual del 10% en la calificación individual definitiva para cada funcionario, dependiendo del área o dependencia en la que se encuentre. Los resultados de esta evaluación son tomados del informe presentado por la Oficina de Control Interno en febrero de 2018</w:t>
      </w:r>
      <w:r w:rsidR="00692D52">
        <w:rPr>
          <w:rFonts w:ascii="Verdana" w:hAnsi="Verdana"/>
          <w:sz w:val="24"/>
          <w:szCs w:val="24"/>
        </w:rPr>
        <w:t xml:space="preserve">. Son tres los criterios que se toman en cuenta para la realización de esta evaluación, los cuales son: </w:t>
      </w:r>
    </w:p>
    <w:p w:rsidR="00241D98" w:rsidRDefault="00241D98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241D98" w:rsidRDefault="00241D98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9"/>
      </w:tblGrid>
      <w:tr w:rsidR="00241D98" w:rsidTr="00241D98">
        <w:trPr>
          <w:jc w:val="center"/>
        </w:trPr>
        <w:tc>
          <w:tcPr>
            <w:tcW w:w="7819" w:type="dxa"/>
            <w:shd w:val="clear" w:color="auto" w:fill="DEEAF6" w:themeFill="accent1" w:themeFillTint="33"/>
          </w:tcPr>
          <w:p w:rsidR="00241D98" w:rsidRPr="00692D52" w:rsidRDefault="00241D98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92D52">
              <w:rPr>
                <w:rFonts w:ascii="Verdana" w:hAnsi="Verdana"/>
                <w:b/>
                <w:sz w:val="24"/>
                <w:szCs w:val="24"/>
              </w:rPr>
              <w:t>CRITERIOS A EVALUAR</w:t>
            </w:r>
          </w:p>
        </w:tc>
      </w:tr>
      <w:tr w:rsidR="00241D98" w:rsidTr="00241D98">
        <w:trPr>
          <w:jc w:val="center"/>
        </w:trPr>
        <w:tc>
          <w:tcPr>
            <w:tcW w:w="7819" w:type="dxa"/>
          </w:tcPr>
          <w:p w:rsidR="00241D98" w:rsidRDefault="00241D98" w:rsidP="007953B9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Porcentaje de cumplimiento al Plan de Acción en el año 2017 </w:t>
            </w:r>
          </w:p>
        </w:tc>
      </w:tr>
      <w:tr w:rsidR="00241D98" w:rsidTr="00241D98">
        <w:trPr>
          <w:jc w:val="center"/>
        </w:trPr>
        <w:tc>
          <w:tcPr>
            <w:tcW w:w="7819" w:type="dxa"/>
          </w:tcPr>
          <w:p w:rsidR="00241D98" w:rsidRDefault="00241D98" w:rsidP="007953B9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Porcentaje de cumplimiento en la respuesta PQRSD</w:t>
            </w:r>
          </w:p>
        </w:tc>
      </w:tr>
      <w:tr w:rsidR="00241D98" w:rsidTr="00241D98">
        <w:trPr>
          <w:jc w:val="center"/>
        </w:trPr>
        <w:tc>
          <w:tcPr>
            <w:tcW w:w="7819" w:type="dxa"/>
          </w:tcPr>
          <w:p w:rsidR="00241D98" w:rsidRDefault="00241D98" w:rsidP="007953B9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Porcentaje de cumplimiento en aplicativo PIXYS</w:t>
            </w:r>
          </w:p>
        </w:tc>
      </w:tr>
    </w:tbl>
    <w:p w:rsidR="00692D52" w:rsidRPr="00176F46" w:rsidRDefault="00692D52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76F46" w:rsidRDefault="00692D52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resultados son los siguientes: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64"/>
        <w:gridCol w:w="2219"/>
      </w:tblGrid>
      <w:tr w:rsidR="0048640C" w:rsidTr="0048640C">
        <w:trPr>
          <w:jc w:val="center"/>
        </w:trPr>
        <w:tc>
          <w:tcPr>
            <w:tcW w:w="3864" w:type="dxa"/>
            <w:shd w:val="clear" w:color="auto" w:fill="DEEAF6" w:themeFill="accent1" w:themeFillTint="33"/>
          </w:tcPr>
          <w:p w:rsidR="0048640C" w:rsidRPr="0048640C" w:rsidRDefault="0048640C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640C">
              <w:rPr>
                <w:rFonts w:ascii="Verdana" w:hAnsi="Verdana"/>
                <w:b/>
                <w:sz w:val="24"/>
                <w:szCs w:val="24"/>
              </w:rPr>
              <w:t>SECRETARÍAS O DEPENDENCIAS</w:t>
            </w:r>
          </w:p>
        </w:tc>
        <w:tc>
          <w:tcPr>
            <w:tcW w:w="2212" w:type="dxa"/>
            <w:shd w:val="clear" w:color="auto" w:fill="DEEAF6" w:themeFill="accent1" w:themeFillTint="33"/>
            <w:vAlign w:val="center"/>
          </w:tcPr>
          <w:p w:rsidR="0048640C" w:rsidRPr="0048640C" w:rsidRDefault="0048640C" w:rsidP="007953B9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640C">
              <w:rPr>
                <w:rFonts w:ascii="Verdana" w:hAnsi="Verdana"/>
                <w:b/>
                <w:sz w:val="24"/>
                <w:szCs w:val="24"/>
              </w:rPr>
              <w:t>CALIFICACIÓN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Planeación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Infraestructura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Educación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Salud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Tránsito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Gobierno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General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Secretaría de Hacienda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48640C" w:rsidTr="0048640C">
        <w:trPr>
          <w:jc w:val="center"/>
        </w:trPr>
        <w:tc>
          <w:tcPr>
            <w:tcW w:w="3864" w:type="dxa"/>
          </w:tcPr>
          <w:p w:rsidR="0048640C" w:rsidRDefault="0048640C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Oficina de Jurídica</w:t>
            </w:r>
          </w:p>
        </w:tc>
        <w:tc>
          <w:tcPr>
            <w:tcW w:w="2212" w:type="dxa"/>
          </w:tcPr>
          <w:p w:rsidR="0048640C" w:rsidRDefault="00DD7838" w:rsidP="007953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</w:tbl>
    <w:p w:rsidR="008E2934" w:rsidRDefault="008E2934" w:rsidP="007953B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5230E8" w:rsidRDefault="00327040" w:rsidP="007953B9">
      <w:pPr>
        <w:pStyle w:val="Ttulo2"/>
        <w:numPr>
          <w:ilvl w:val="0"/>
          <w:numId w:val="5"/>
        </w:numPr>
        <w:spacing w:line="276" w:lineRule="auto"/>
      </w:pPr>
      <w:bookmarkStart w:id="18" w:name="_Toc513537950"/>
      <w:bookmarkStart w:id="19" w:name="_Toc513538289"/>
      <w:r w:rsidRPr="00327040">
        <w:t>RESULTADOS DE LA EVALUACIÓN.</w:t>
      </w:r>
      <w:bookmarkEnd w:id="18"/>
      <w:bookmarkEnd w:id="19"/>
    </w:p>
    <w:p w:rsidR="0064290A" w:rsidRPr="0064290A" w:rsidRDefault="0064290A" w:rsidP="007953B9">
      <w:pPr>
        <w:spacing w:line="276" w:lineRule="auto"/>
        <w:rPr>
          <w:lang w:val="es-CO" w:eastAsia="es-ES"/>
        </w:rPr>
      </w:pPr>
    </w:p>
    <w:p w:rsidR="005F2A4A" w:rsidRDefault="001C4C57" w:rsidP="007953B9">
      <w:pPr>
        <w:pStyle w:val="ecxmsolistparagraph"/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eastAsiaTheme="minorHAnsi" w:hAnsi="Verdana" w:cstheme="minorBidi"/>
          <w:lang w:val="es-ES" w:eastAsia="en-US"/>
        </w:rPr>
      </w:pPr>
      <w:r w:rsidRPr="001C4C57">
        <w:rPr>
          <w:rFonts w:ascii="Verdana" w:eastAsiaTheme="minorHAnsi" w:hAnsi="Verdana" w:cstheme="minorBidi"/>
          <w:lang w:val="es-ES" w:eastAsia="en-US"/>
        </w:rPr>
        <w:lastRenderedPageBreak/>
        <w:t xml:space="preserve">En la siguiente </w:t>
      </w:r>
      <w:r w:rsidR="004F3410" w:rsidRPr="001C4C57">
        <w:rPr>
          <w:rFonts w:ascii="Verdana" w:eastAsiaTheme="minorHAnsi" w:hAnsi="Verdana" w:cstheme="minorBidi"/>
          <w:lang w:val="es-ES" w:eastAsia="en-US"/>
        </w:rPr>
        <w:t>relación se</w:t>
      </w:r>
      <w:r w:rsidRPr="001C4C57">
        <w:rPr>
          <w:rFonts w:ascii="Verdana" w:eastAsiaTheme="minorHAnsi" w:hAnsi="Verdana" w:cstheme="minorBidi"/>
          <w:lang w:val="es-ES" w:eastAsia="en-US"/>
        </w:rPr>
        <w:t xml:space="preserve"> muestran los nombres completos</w:t>
      </w:r>
      <w:r w:rsidR="00354A64">
        <w:rPr>
          <w:rFonts w:ascii="Verdana" w:eastAsiaTheme="minorHAnsi" w:hAnsi="Verdana" w:cstheme="minorBidi"/>
          <w:lang w:val="es-ES" w:eastAsia="en-US"/>
        </w:rPr>
        <w:t>, dependencia, nivel Jerárquico</w:t>
      </w:r>
      <w:r w:rsidRPr="001C4C57">
        <w:rPr>
          <w:rFonts w:ascii="Verdana" w:eastAsiaTheme="minorHAnsi" w:hAnsi="Verdana" w:cstheme="minorBidi"/>
          <w:lang w:val="es-ES" w:eastAsia="en-US"/>
        </w:rPr>
        <w:t xml:space="preserve"> y los resultados alcanzados u obtenidos por cada funcionario en la eva</w:t>
      </w:r>
      <w:r w:rsidR="00354A64">
        <w:rPr>
          <w:rFonts w:ascii="Verdana" w:eastAsiaTheme="minorHAnsi" w:hAnsi="Verdana" w:cstheme="minorBidi"/>
          <w:lang w:val="es-ES" w:eastAsia="en-US"/>
        </w:rPr>
        <w:t xml:space="preserve">luación parcial </w:t>
      </w:r>
      <w:r w:rsidR="00327040">
        <w:rPr>
          <w:rFonts w:ascii="Verdana" w:eastAsiaTheme="minorHAnsi" w:hAnsi="Verdana" w:cstheme="minorBidi"/>
          <w:lang w:val="es-ES" w:eastAsia="en-US"/>
        </w:rPr>
        <w:t xml:space="preserve">y en la evaluación definitiva del </w:t>
      </w:r>
      <w:r w:rsidR="00354A64">
        <w:rPr>
          <w:rFonts w:ascii="Verdana" w:eastAsiaTheme="minorHAnsi" w:hAnsi="Verdana" w:cstheme="minorBidi"/>
          <w:lang w:val="es-ES" w:eastAsia="en-US"/>
        </w:rPr>
        <w:t xml:space="preserve">Periodo </w:t>
      </w:r>
      <w:r w:rsidR="00327040">
        <w:rPr>
          <w:rFonts w:ascii="Verdana" w:eastAsiaTheme="minorHAnsi" w:hAnsi="Verdana" w:cstheme="minorBidi"/>
          <w:lang w:val="es-ES" w:eastAsia="en-US"/>
        </w:rPr>
        <w:t xml:space="preserve">anual ordinario </w:t>
      </w:r>
      <w:r w:rsidR="00354A64">
        <w:rPr>
          <w:rFonts w:ascii="Verdana" w:eastAsiaTheme="minorHAnsi" w:hAnsi="Verdana" w:cstheme="minorBidi"/>
          <w:lang w:val="es-ES" w:eastAsia="en-US"/>
        </w:rPr>
        <w:t xml:space="preserve">2017 </w:t>
      </w:r>
      <w:r w:rsidR="00327040">
        <w:rPr>
          <w:rFonts w:ascii="Verdana" w:eastAsiaTheme="minorHAnsi" w:hAnsi="Verdana" w:cstheme="minorBidi"/>
          <w:lang w:val="es-ES" w:eastAsia="en-US"/>
        </w:rPr>
        <w:t>–</w:t>
      </w:r>
      <w:r w:rsidR="00354A64">
        <w:rPr>
          <w:rFonts w:ascii="Verdana" w:eastAsiaTheme="minorHAnsi" w:hAnsi="Verdana" w:cstheme="minorBidi"/>
          <w:lang w:val="es-ES" w:eastAsia="en-US"/>
        </w:rPr>
        <w:t xml:space="preserve"> 2018</w:t>
      </w:r>
      <w:r w:rsidR="00327040">
        <w:rPr>
          <w:rFonts w:ascii="Verdana" w:eastAsiaTheme="minorHAnsi" w:hAnsi="Verdana" w:cstheme="minorBidi"/>
          <w:lang w:val="es-ES" w:eastAsia="en-US"/>
        </w:rPr>
        <w:t xml:space="preserve">: </w:t>
      </w:r>
    </w:p>
    <w:p w:rsidR="008E2934" w:rsidRDefault="008E2934" w:rsidP="007953B9">
      <w:pPr>
        <w:pStyle w:val="ecxmsolistparagraph"/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eastAsiaTheme="minorHAnsi" w:hAnsi="Verdana" w:cstheme="minorBidi"/>
          <w:lang w:val="es-ES" w:eastAsia="en-US"/>
        </w:rPr>
      </w:pPr>
    </w:p>
    <w:p w:rsidR="008E2934" w:rsidRPr="001C4C57" w:rsidRDefault="008E2934" w:rsidP="007953B9">
      <w:pPr>
        <w:pStyle w:val="ecxmsolistparagraph"/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eastAsiaTheme="minorHAnsi" w:hAnsi="Verdana" w:cstheme="minorBidi"/>
          <w:lang w:val="es-ES" w:eastAsia="en-US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03"/>
        <w:gridCol w:w="1613"/>
        <w:gridCol w:w="1465"/>
        <w:gridCol w:w="1643"/>
        <w:gridCol w:w="1643"/>
      </w:tblGrid>
      <w:tr w:rsidR="00445AF6" w:rsidRPr="00327040" w:rsidTr="00445AF6">
        <w:trPr>
          <w:trHeight w:val="473"/>
          <w:jc w:val="center"/>
        </w:trPr>
        <w:tc>
          <w:tcPr>
            <w:tcW w:w="9800" w:type="dxa"/>
            <w:gridSpan w:val="6"/>
            <w:shd w:val="clear" w:color="000000" w:fill="C5D9F1"/>
            <w:vAlign w:val="center"/>
          </w:tcPr>
          <w:p w:rsidR="00445AF6" w:rsidRPr="00327040" w:rsidRDefault="00445AF6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CALIFICACIONES EVALUACION PARCIAL Y DEFINITIVA 2017-2018</w:t>
            </w:r>
          </w:p>
        </w:tc>
      </w:tr>
      <w:tr w:rsidR="005C43AD" w:rsidRPr="00327040" w:rsidTr="00445AF6">
        <w:trPr>
          <w:trHeight w:val="902"/>
          <w:jc w:val="center"/>
        </w:trPr>
        <w:tc>
          <w:tcPr>
            <w:tcW w:w="1640" w:type="dxa"/>
            <w:shd w:val="clear" w:color="000000" w:fill="C5D9F1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1960" w:type="dxa"/>
            <w:shd w:val="clear" w:color="000000" w:fill="C5D9F1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CARGO</w:t>
            </w:r>
          </w:p>
        </w:tc>
        <w:tc>
          <w:tcPr>
            <w:tcW w:w="1449" w:type="dxa"/>
            <w:shd w:val="clear" w:color="000000" w:fill="C5D9F1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1465" w:type="dxa"/>
            <w:shd w:val="clear" w:color="000000" w:fill="C5D9F1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NIVEL JERARQUICO</w:t>
            </w:r>
          </w:p>
        </w:tc>
        <w:tc>
          <w:tcPr>
            <w:tcW w:w="1643" w:type="dxa"/>
            <w:shd w:val="clear" w:color="000000" w:fill="C5D9F1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CALIFICACIÓN OBTENIDA (%) </w:t>
            </w:r>
          </w:p>
        </w:tc>
        <w:tc>
          <w:tcPr>
            <w:tcW w:w="1643" w:type="dxa"/>
            <w:shd w:val="clear" w:color="000000" w:fill="C5D9F1"/>
            <w:vAlign w:val="center"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CALIFICACION DEFINITIVA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REGINO MARTINEZ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ALVARO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CONDUCTOR GR. 03 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Despacho del alcalde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44,25</w:t>
            </w:r>
          </w:p>
        </w:tc>
        <w:tc>
          <w:tcPr>
            <w:tcW w:w="1643" w:type="dxa"/>
            <w:vAlign w:val="center"/>
          </w:tcPr>
          <w:p w:rsidR="005C43AD" w:rsidRPr="003B6ED2" w:rsidRDefault="003B6ED2" w:rsidP="007953B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98,75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COGOLLO </w:t>
            </w:r>
            <w:proofErr w:type="spellStart"/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COGOLLO</w:t>
            </w:r>
            <w:proofErr w:type="spellEnd"/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JOSE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MANUEL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Oficina Asesora Jurídica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44,75</w:t>
            </w:r>
          </w:p>
        </w:tc>
        <w:tc>
          <w:tcPr>
            <w:tcW w:w="1643" w:type="dxa"/>
            <w:shd w:val="clear" w:color="000000" w:fill="FFFFFF"/>
          </w:tcPr>
          <w:p w:rsidR="00CD62EB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5C43AD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97,50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RODRIGUEZ PAREDES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MEVIS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Oficina Asesora Jurídica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44,25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96,20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RAMOS VILLADIEGO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MINELLYS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Educación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44,75</w:t>
            </w:r>
          </w:p>
        </w:tc>
        <w:tc>
          <w:tcPr>
            <w:tcW w:w="1643" w:type="dxa"/>
          </w:tcPr>
          <w:p w:rsidR="00CD62EB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5C43AD" w:rsidRPr="00327040" w:rsidRDefault="008F5A85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91,90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DIAZ HELIAZ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JORGE DAVID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Educación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43,15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</w:t>
            </w:r>
            <w:r w:rsidR="008F5A8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0,35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SALGADO TAMARA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RAMIRO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TECNICO ADMINISTRATIVO GR. 02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44,75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97,75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LEON DE LOPEZ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RUTH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01 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44,50</w:t>
            </w:r>
          </w:p>
        </w:tc>
        <w:tc>
          <w:tcPr>
            <w:tcW w:w="1643" w:type="dxa"/>
            <w:vAlign w:val="center"/>
          </w:tcPr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93,45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ZAMUDIO TORRES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ALBERTO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44,40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93,25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lastRenderedPageBreak/>
              <w:t>ESPITIA DURANGO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LINA ESMERALDA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PROFESIONAL UNIVERSITARIO GR. 01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43,95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96,13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NEGRETE </w:t>
            </w:r>
            <w:proofErr w:type="spellStart"/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NEGRETE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ORLANDO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43,75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96,50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NARVAEZ BARRIOS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EDUARDO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42,70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91,30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HERAZO </w:t>
            </w:r>
            <w:proofErr w:type="spellStart"/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HERAZO</w:t>
            </w:r>
            <w:proofErr w:type="spellEnd"/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ALEJANDRO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42,30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93,</w:t>
            </w:r>
            <w:r w:rsidR="008F5A8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LOZANO DURANGO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BRAULIO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41,70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CD62EB" w:rsidRPr="00327040" w:rsidRDefault="00CD62EB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91,25</w:t>
            </w:r>
          </w:p>
        </w:tc>
      </w:tr>
      <w:tr w:rsidR="005C43AD" w:rsidRPr="00327040" w:rsidTr="008E2934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PINEDO VERGARA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ROSA LINA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02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41,00</w:t>
            </w:r>
          </w:p>
        </w:tc>
        <w:tc>
          <w:tcPr>
            <w:tcW w:w="1643" w:type="dxa"/>
            <w:vAlign w:val="center"/>
          </w:tcPr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91,10</w:t>
            </w:r>
          </w:p>
        </w:tc>
      </w:tr>
      <w:tr w:rsidR="005C43AD" w:rsidRPr="00327040" w:rsidTr="008E2934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BUELVAS OQUENDO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RAMON BANJAMIN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INSPECTOR GR. 01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40,90</w:t>
            </w:r>
          </w:p>
        </w:tc>
        <w:tc>
          <w:tcPr>
            <w:tcW w:w="1643" w:type="dxa"/>
            <w:vAlign w:val="center"/>
          </w:tcPr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91,25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MILLAN GALINDO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HUMBERTO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INSPECTOR GR. 01                     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Gobierno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90,85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TORRES AYAZO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WILLIAM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02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40,80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93,00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CARRASCAL RODRIGUEZ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CARMEN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02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40,40</w:t>
            </w:r>
          </w:p>
        </w:tc>
        <w:tc>
          <w:tcPr>
            <w:tcW w:w="1643" w:type="dxa"/>
          </w:tcPr>
          <w:p w:rsidR="0030213C" w:rsidRDefault="0030213C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5C43AD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93,00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RAMIREZ DIAZ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MARCELA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03 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Infraestructura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41,75</w:t>
            </w:r>
          </w:p>
        </w:tc>
        <w:tc>
          <w:tcPr>
            <w:tcW w:w="1643" w:type="dxa"/>
            <w:vAlign w:val="center"/>
          </w:tcPr>
          <w:p w:rsidR="005C43AD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94,35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PEREZ VILLALOBOS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ELI REMBERTO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PROFESIONAL UNIVERSITARIO GR. 01       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Planeación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</w:tcPr>
          <w:p w:rsidR="00BF584E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5C43AD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94,40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PADILLA DIAZ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MANUEL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INSPECTOR GR. 01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Planeación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  <w:vAlign w:val="center"/>
          </w:tcPr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92,20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DORIA COGOLLO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GENIS MARIA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Planeación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86,00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lastRenderedPageBreak/>
              <w:t>ALVAREZ VARILLA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ESTRELLA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02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Salud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88,00</w:t>
            </w: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OVIEDO BUELVAS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MARTHA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03 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44,15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99,15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SANES AYALA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LUIS ERNESTO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44,00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95,65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CALUME CHAQUER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JAVIER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INSPECTOR GR. 01                     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42,45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95,30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BONET PAYARES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EDILIA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 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PROFESIONAL UNIVERSITARIO GR. 02       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37,05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27040" w:rsidRDefault="00BF584E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89,85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REYES DIAZ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BERTHA CECILIA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PROFESIONAL UNIVERSITARIO GR. 01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General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44,50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0213C" w:rsidRDefault="0030213C" w:rsidP="007953B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E293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8E2934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C43AD" w:rsidRPr="00327040" w:rsidTr="00445AF6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ALVAREZ VERTEL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MARLENE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01 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General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44,75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0213C" w:rsidRDefault="0030213C" w:rsidP="007953B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E29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8E29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43AD" w:rsidRPr="00327040" w:rsidTr="008E2934">
        <w:trPr>
          <w:trHeight w:val="30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RESTAN MURILLO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LETICIA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SECRETARIO GR. 02            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General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43,15</w:t>
            </w:r>
          </w:p>
        </w:tc>
        <w:tc>
          <w:tcPr>
            <w:tcW w:w="1643" w:type="dxa"/>
            <w:vAlign w:val="center"/>
          </w:tcPr>
          <w:p w:rsidR="005C43AD" w:rsidRPr="008E2934" w:rsidRDefault="0030213C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E293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97,58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MENDOZA PARRA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ALICIA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TECNICO ADMINISTRATIVO   GR. 01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General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0213C" w:rsidRDefault="0030213C" w:rsidP="007953B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91,30</w:t>
            </w:r>
          </w:p>
        </w:tc>
      </w:tr>
      <w:tr w:rsidR="005C43AD" w:rsidRPr="00327040" w:rsidTr="00445AF6">
        <w:trPr>
          <w:trHeight w:val="511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GARCIA CRUZ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LINA ROCIO </w:t>
            </w: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               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Secretaría General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 xml:space="preserve">Asistencial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C43AD" w:rsidRPr="00327040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2704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40,15</w:t>
            </w:r>
          </w:p>
        </w:tc>
        <w:tc>
          <w:tcPr>
            <w:tcW w:w="1643" w:type="dxa"/>
          </w:tcPr>
          <w:p w:rsidR="005C43AD" w:rsidRDefault="005C43AD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  <w:p w:rsidR="00BF584E" w:rsidRPr="0030213C" w:rsidRDefault="0030213C" w:rsidP="007953B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93,25</w:t>
            </w:r>
          </w:p>
        </w:tc>
      </w:tr>
    </w:tbl>
    <w:p w:rsidR="005C43AD" w:rsidRDefault="005C43AD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CE3BAF" w:rsidRDefault="00CE3BAF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siguiente tabla muestra los rangos de calificación alcanzados y los números y porcentajes de funcionarios contenidos en estos rangos:</w:t>
      </w:r>
    </w:p>
    <w:tbl>
      <w:tblPr>
        <w:tblW w:w="5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00"/>
        <w:gridCol w:w="1457"/>
      </w:tblGrid>
      <w:tr w:rsidR="00443C97" w:rsidRPr="00443C97" w:rsidTr="00F2766A">
        <w:trPr>
          <w:trHeight w:val="60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RANGOS DE CALIFICACION OBTENIDA (%)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NUMERO DE FUNCIONARIOS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3C97" w:rsidRPr="00443C97" w:rsidRDefault="00443C97" w:rsidP="007953B9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PORCENTAJE</w:t>
            </w:r>
          </w:p>
        </w:tc>
      </w:tr>
      <w:tr w:rsidR="00443C97" w:rsidRPr="00443C97" w:rsidTr="00F2766A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86,00 - 89,29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443C97" w:rsidRPr="00443C97" w:rsidTr="00F2766A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89,29 - 92,58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</w:tr>
      <w:tr w:rsidR="00443C97" w:rsidRPr="00443C97" w:rsidTr="00F2766A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lastRenderedPageBreak/>
              <w:t>92,575 - 95,86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</w:tr>
      <w:tr w:rsidR="00443C97" w:rsidRPr="00443C97" w:rsidTr="00F2766A">
        <w:trPr>
          <w:trHeight w:val="315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95,86 - 99,15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C97" w:rsidRPr="00443C97" w:rsidRDefault="00443C97" w:rsidP="007953B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443C9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</w:tr>
    </w:tbl>
    <w:p w:rsidR="009C1A35" w:rsidRDefault="009C1A35" w:rsidP="007953B9">
      <w:pPr>
        <w:pStyle w:val="ecxmsolistparagraph"/>
        <w:shd w:val="clear" w:color="auto" w:fill="FFFFFF"/>
        <w:spacing w:line="276" w:lineRule="auto"/>
        <w:rPr>
          <w:noProof/>
        </w:rPr>
      </w:pPr>
    </w:p>
    <w:p w:rsidR="00B5616B" w:rsidRPr="001C4C57" w:rsidRDefault="00F2766A" w:rsidP="007953B9">
      <w:pPr>
        <w:pStyle w:val="ecxmsolistparagraph"/>
        <w:shd w:val="clear" w:color="auto" w:fill="FFFFFF"/>
        <w:spacing w:line="276" w:lineRule="auto"/>
        <w:jc w:val="center"/>
        <w:rPr>
          <w:rFonts w:ascii="Verdana" w:hAnsi="Verdana" w:cs="Arial"/>
        </w:rPr>
      </w:pPr>
      <w:r>
        <w:rPr>
          <w:noProof/>
          <w:lang w:val="es-CO" w:eastAsia="es-CO"/>
        </w:rPr>
        <w:drawing>
          <wp:inline distT="0" distB="0" distL="0" distR="0" wp14:anchorId="3DA0C677" wp14:editId="5BEA99C5">
            <wp:extent cx="4276725" cy="24003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8D5C863-EDE6-4E2C-B473-F5235D9436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7C4F" w:rsidRDefault="004E7C4F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1C4C57" w:rsidRPr="001C4C57" w:rsidRDefault="00CE3BAF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continuación, la siguiente tabla contiene </w:t>
      </w:r>
      <w:r w:rsidR="00403CDF">
        <w:rPr>
          <w:rFonts w:ascii="Verdana" w:hAnsi="Verdana" w:cs="Arial"/>
        </w:rPr>
        <w:t xml:space="preserve">las </w:t>
      </w:r>
      <w:r w:rsidR="008E2934">
        <w:rPr>
          <w:rFonts w:ascii="Verdana" w:hAnsi="Verdana" w:cs="Arial"/>
        </w:rPr>
        <w:t>5</w:t>
      </w:r>
      <w:r w:rsidR="00403CDF">
        <w:rPr>
          <w:rFonts w:ascii="Verdana" w:hAnsi="Verdana" w:cs="Arial"/>
        </w:rPr>
        <w:t xml:space="preserve"> </w:t>
      </w:r>
      <w:r w:rsidR="00AE6CEE">
        <w:rPr>
          <w:rFonts w:ascii="Verdana" w:hAnsi="Verdana" w:cs="Arial"/>
        </w:rPr>
        <w:t xml:space="preserve">mejores calificaciones obtenidas por los funcionarios para </w:t>
      </w:r>
      <w:r w:rsidR="00637E1E">
        <w:rPr>
          <w:rFonts w:ascii="Verdana" w:hAnsi="Verdana" w:cs="Arial"/>
        </w:rPr>
        <w:t>la evaluación definitiva: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085"/>
        <w:gridCol w:w="2176"/>
        <w:gridCol w:w="1455"/>
        <w:gridCol w:w="1320"/>
        <w:gridCol w:w="1474"/>
      </w:tblGrid>
      <w:tr w:rsidR="00403CDF" w:rsidRPr="00403CDF" w:rsidTr="00DE1875">
        <w:trPr>
          <w:trHeight w:val="1103"/>
          <w:jc w:val="center"/>
        </w:trPr>
        <w:tc>
          <w:tcPr>
            <w:tcW w:w="1139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APELLIDOS</w:t>
            </w:r>
          </w:p>
        </w:tc>
        <w:tc>
          <w:tcPr>
            <w:tcW w:w="1085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NOMBRES</w:t>
            </w:r>
          </w:p>
        </w:tc>
        <w:tc>
          <w:tcPr>
            <w:tcW w:w="2176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CARGO</w:t>
            </w:r>
          </w:p>
        </w:tc>
        <w:tc>
          <w:tcPr>
            <w:tcW w:w="1455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DEPENDENCIA</w:t>
            </w:r>
          </w:p>
        </w:tc>
        <w:tc>
          <w:tcPr>
            <w:tcW w:w="1320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NIVEL JERARQUICO</w:t>
            </w:r>
          </w:p>
        </w:tc>
        <w:tc>
          <w:tcPr>
            <w:tcW w:w="1474" w:type="dxa"/>
            <w:shd w:val="clear" w:color="000000" w:fill="C5D9F1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 xml:space="preserve">CALIFICACIÓN OBTENIDA (%) </w:t>
            </w:r>
          </w:p>
        </w:tc>
      </w:tr>
      <w:tr w:rsidR="00403CDF" w:rsidRPr="00403CDF" w:rsidTr="00DE1875">
        <w:trPr>
          <w:trHeight w:val="625"/>
          <w:jc w:val="center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OVIEDO BUELVAS    </w:t>
            </w:r>
            <w:r w:rsidR="00403CDF" w:rsidRPr="00403C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          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MARTHA           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SECRETARIO GR. 03      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Asistencial 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:rsidR="00403CDF" w:rsidRPr="002B19F9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lang w:val="es-CO" w:eastAsia="es-CO"/>
              </w:rPr>
              <w:t>99,15</w:t>
            </w:r>
          </w:p>
        </w:tc>
      </w:tr>
      <w:tr w:rsidR="00403CDF" w:rsidRPr="00403CDF" w:rsidTr="00DE1875">
        <w:trPr>
          <w:trHeight w:val="625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REGINO MARTINEZ      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ALVARO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CONDUCTOR GR. 03             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Secretaría General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3CDF" w:rsidRPr="00403CDF" w:rsidRDefault="00403CDF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Asistencial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403CDF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98</w:t>
            </w:r>
            <w:r w:rsidR="00403CDF" w:rsidRPr="00403CDF">
              <w:rPr>
                <w:rFonts w:ascii="Calibri" w:eastAsia="Times New Roman" w:hAnsi="Calibri" w:cs="Calibri"/>
                <w:color w:val="000000"/>
                <w:lang w:val="es-CO" w:eastAsia="es-CO"/>
              </w:rPr>
              <w:t>,75</w:t>
            </w:r>
          </w:p>
        </w:tc>
      </w:tr>
      <w:tr w:rsidR="002B19F9" w:rsidRPr="00403CDF" w:rsidTr="00DE1875">
        <w:trPr>
          <w:trHeight w:val="625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SALGADO TAMARA                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RAMIRO                        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TECNICO ADMINISTRATIVO GR. 02           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Secretaría de Gobierno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03CDF">
              <w:rPr>
                <w:rFonts w:ascii="Calibri" w:eastAsia="Times New Roman" w:hAnsi="Calibri" w:cs="Calibri"/>
                <w:color w:val="000000"/>
                <w:lang w:val="es-CO" w:eastAsia="es-CO"/>
              </w:rPr>
              <w:t>Técnico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97,75</w:t>
            </w:r>
          </w:p>
        </w:tc>
      </w:tr>
      <w:tr w:rsidR="008B2732" w:rsidRPr="00403CDF" w:rsidTr="00DE1875">
        <w:trPr>
          <w:trHeight w:val="625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8B2732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RESTAN MIRILLO 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B2732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LETICA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8B2732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SECRETARIO GR. 02               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B2732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Secretaría General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B2732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Asistencial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B2732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97,58</w:t>
            </w:r>
          </w:p>
        </w:tc>
      </w:tr>
      <w:tr w:rsidR="002B19F9" w:rsidRPr="00403CDF" w:rsidTr="00DE1875">
        <w:trPr>
          <w:trHeight w:val="625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2B19F9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 xml:space="preserve">COGOLLO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COGOLLO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9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B19F9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JOSE MANUEL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B19F9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8B27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AUXILIAR ADMINISTRATIVO GR. 01         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B19F9" w:rsidRPr="00403CDF" w:rsidRDefault="008B2732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8B27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Oficina Asesora Jurídica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B19F9" w:rsidRPr="00403CDF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Asistencial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B19F9" w:rsidRDefault="002B19F9" w:rsidP="007953B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97,5</w:t>
            </w:r>
            <w:r w:rsidR="008B2732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</w:tbl>
    <w:p w:rsidR="005C43AD" w:rsidRDefault="005C43AD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  <w:b/>
        </w:rPr>
      </w:pPr>
      <w:r w:rsidRPr="005C43AD">
        <w:rPr>
          <w:rFonts w:ascii="Verdana" w:hAnsi="Verdana" w:cs="Arial"/>
          <w:b/>
        </w:rPr>
        <w:t xml:space="preserve"> </w:t>
      </w:r>
    </w:p>
    <w:p w:rsidR="00692D52" w:rsidRDefault="0078644D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 acuerdo con</w:t>
      </w:r>
      <w:r w:rsidR="008A23AB">
        <w:rPr>
          <w:rFonts w:ascii="Verdana" w:hAnsi="Verdana" w:cs="Arial"/>
        </w:rPr>
        <w:t xml:space="preserve"> los resultados obtenidos y la </w:t>
      </w:r>
      <w:r>
        <w:rPr>
          <w:rFonts w:ascii="Verdana" w:hAnsi="Verdana" w:cs="Arial"/>
        </w:rPr>
        <w:t xml:space="preserve">representación gráfica de los mismos, podemos apreciar que sólo </w:t>
      </w:r>
      <w:r w:rsidR="00C216DC">
        <w:rPr>
          <w:rFonts w:ascii="Verdana" w:hAnsi="Verdana" w:cs="Arial"/>
        </w:rPr>
        <w:t xml:space="preserve">3 funcionarios </w:t>
      </w:r>
      <w:r w:rsidR="00403CDF">
        <w:rPr>
          <w:rFonts w:ascii="Verdana" w:hAnsi="Verdana" w:cs="Arial"/>
        </w:rPr>
        <w:t>obtuvieron</w:t>
      </w:r>
      <w:r>
        <w:rPr>
          <w:rFonts w:ascii="Verdana" w:hAnsi="Verdana" w:cs="Arial"/>
        </w:rPr>
        <w:t xml:space="preserve"> una calificación menor a </w:t>
      </w:r>
      <w:r w:rsidR="00C216DC">
        <w:rPr>
          <w:rFonts w:ascii="Verdana" w:hAnsi="Verdana" w:cs="Arial"/>
        </w:rPr>
        <w:t>90, siendo un 9% del total de los funcionarios</w:t>
      </w:r>
      <w:r w:rsidR="00A37DDA">
        <w:rPr>
          <w:rFonts w:ascii="Verdana" w:hAnsi="Verdana" w:cs="Arial"/>
        </w:rPr>
        <w:t>. P</w:t>
      </w:r>
      <w:r>
        <w:rPr>
          <w:rFonts w:ascii="Verdana" w:hAnsi="Verdana" w:cs="Arial"/>
        </w:rPr>
        <w:t>or lo tanto, se deben tomar las medidas necesarias para el mejoramiento de su desempeño. En su mayoría, las calificaciones se encuentran ubic</w:t>
      </w:r>
      <w:r w:rsidR="00403CDF">
        <w:rPr>
          <w:rFonts w:ascii="Verdana" w:hAnsi="Verdana" w:cs="Arial"/>
        </w:rPr>
        <w:t xml:space="preserve">adas en el rango de </w:t>
      </w:r>
      <w:r w:rsidR="00C216DC">
        <w:rPr>
          <w:rFonts w:ascii="Verdana" w:hAnsi="Verdana" w:cs="Arial"/>
        </w:rPr>
        <w:t>90</w:t>
      </w:r>
      <w:r w:rsidR="00403CDF">
        <w:rPr>
          <w:rFonts w:ascii="Verdana" w:hAnsi="Verdana" w:cs="Arial"/>
        </w:rPr>
        <w:t xml:space="preserve"> a </w:t>
      </w:r>
      <w:r w:rsidR="00C216DC">
        <w:rPr>
          <w:rFonts w:ascii="Verdana" w:hAnsi="Verdana" w:cs="Arial"/>
        </w:rPr>
        <w:t>99,15</w:t>
      </w:r>
      <w:r w:rsidR="00403CDF">
        <w:rPr>
          <w:rFonts w:ascii="Verdana" w:hAnsi="Verdana" w:cs="Arial"/>
        </w:rPr>
        <w:t xml:space="preserve"> lo que indica</w:t>
      </w:r>
      <w:r>
        <w:rPr>
          <w:rFonts w:ascii="Verdana" w:hAnsi="Verdana" w:cs="Arial"/>
        </w:rPr>
        <w:t xml:space="preserve"> la obtención de uno</w:t>
      </w:r>
      <w:r w:rsidR="00403CDF">
        <w:rPr>
          <w:rFonts w:ascii="Verdana" w:hAnsi="Verdana" w:cs="Arial"/>
        </w:rPr>
        <w:t>s</w:t>
      </w:r>
      <w:r w:rsidR="00D15A4C">
        <w:rPr>
          <w:rFonts w:ascii="Verdana" w:hAnsi="Verdana" w:cs="Arial"/>
        </w:rPr>
        <w:t xml:space="preserve"> buenos resultados</w:t>
      </w:r>
      <w:r w:rsidR="00C216DC">
        <w:rPr>
          <w:rFonts w:ascii="Verdana" w:hAnsi="Verdana" w:cs="Arial"/>
        </w:rPr>
        <w:t xml:space="preserve"> de manera general, se cuenta con </w:t>
      </w:r>
      <w:r w:rsidR="00BD4CB1">
        <w:rPr>
          <w:rFonts w:ascii="Verdana" w:hAnsi="Verdana" w:cs="Arial"/>
        </w:rPr>
        <w:t>11</w:t>
      </w:r>
      <w:r w:rsidR="00C216DC">
        <w:rPr>
          <w:rFonts w:ascii="Verdana" w:hAnsi="Verdana" w:cs="Arial"/>
        </w:rPr>
        <w:t xml:space="preserve"> funcionarios ubicados en el rango superior según la tabla rango de calificaciones,</w:t>
      </w:r>
      <w:r w:rsidR="00BD4CB1">
        <w:rPr>
          <w:rFonts w:ascii="Verdana" w:hAnsi="Verdana" w:cs="Arial"/>
        </w:rPr>
        <w:t xml:space="preserve"> siendo un 34% del total de los funcionarios,</w:t>
      </w:r>
      <w:r w:rsidR="00C216DC">
        <w:rPr>
          <w:rFonts w:ascii="Verdana" w:hAnsi="Verdana" w:cs="Arial"/>
        </w:rPr>
        <w:t xml:space="preserve"> </w:t>
      </w:r>
      <w:r w:rsidR="00D15A4C">
        <w:rPr>
          <w:rFonts w:ascii="Verdana" w:hAnsi="Verdana" w:cs="Arial"/>
        </w:rPr>
        <w:t>aunque para est</w:t>
      </w:r>
      <w:r w:rsidR="00BD4CB1">
        <w:rPr>
          <w:rFonts w:ascii="Verdana" w:hAnsi="Verdana" w:cs="Arial"/>
        </w:rPr>
        <w:t>e periodo de evaluación</w:t>
      </w:r>
      <w:r w:rsidR="00D15A4C">
        <w:rPr>
          <w:rFonts w:ascii="Verdana" w:hAnsi="Verdana" w:cs="Arial"/>
        </w:rPr>
        <w:t xml:space="preserve"> ningún funcionario obtuvo la máxima calificación (</w:t>
      </w:r>
      <w:r w:rsidR="00C216DC">
        <w:rPr>
          <w:rFonts w:ascii="Verdana" w:hAnsi="Verdana" w:cs="Arial"/>
        </w:rPr>
        <w:t>100</w:t>
      </w:r>
      <w:r w:rsidR="00D15A4C">
        <w:rPr>
          <w:rFonts w:ascii="Verdana" w:hAnsi="Verdana" w:cs="Arial"/>
        </w:rPr>
        <w:t>%)</w:t>
      </w:r>
      <w:r w:rsidR="006A5674">
        <w:rPr>
          <w:rFonts w:ascii="Verdana" w:hAnsi="Verdana" w:cs="Arial"/>
        </w:rPr>
        <w:t>.</w:t>
      </w:r>
    </w:p>
    <w:p w:rsidR="006A5674" w:rsidRDefault="006A5674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7953B9" w:rsidRDefault="007953B9" w:rsidP="007953B9">
      <w:pPr>
        <w:pStyle w:val="ecxmsolistparagraph"/>
        <w:shd w:val="clear" w:color="auto" w:fill="FFFFFF"/>
        <w:spacing w:line="276" w:lineRule="auto"/>
        <w:jc w:val="both"/>
        <w:rPr>
          <w:rFonts w:ascii="Verdana" w:hAnsi="Verdana" w:cs="Arial"/>
        </w:rPr>
      </w:pPr>
    </w:p>
    <w:p w:rsidR="005C43AD" w:rsidRDefault="005C43AD" w:rsidP="007953B9">
      <w:pPr>
        <w:pStyle w:val="Ttulo2"/>
        <w:numPr>
          <w:ilvl w:val="0"/>
          <w:numId w:val="5"/>
        </w:numPr>
        <w:spacing w:line="276" w:lineRule="auto"/>
      </w:pPr>
      <w:bookmarkStart w:id="20" w:name="_Toc513537951"/>
      <w:bookmarkStart w:id="21" w:name="_Toc513538290"/>
      <w:r>
        <w:lastRenderedPageBreak/>
        <w:t>CONCLUSIÓN</w:t>
      </w:r>
      <w:bookmarkEnd w:id="20"/>
      <w:bookmarkEnd w:id="21"/>
    </w:p>
    <w:p w:rsidR="00D661D3" w:rsidRPr="00D661D3" w:rsidRDefault="00D661D3" w:rsidP="007953B9">
      <w:pPr>
        <w:spacing w:line="276" w:lineRule="auto"/>
        <w:rPr>
          <w:lang w:val="es-CO" w:eastAsia="es-ES"/>
        </w:rPr>
      </w:pPr>
    </w:p>
    <w:p w:rsidR="00BD4CB1" w:rsidRDefault="00A37DDA" w:rsidP="007953B9">
      <w:pPr>
        <w:pStyle w:val="ecxmsolistparagraph"/>
        <w:shd w:val="clear" w:color="auto" w:fill="FFFFFF"/>
        <w:spacing w:after="0" w:line="276" w:lineRule="auto"/>
        <w:jc w:val="both"/>
        <w:rPr>
          <w:rFonts w:ascii="Verdana" w:hAnsi="Verdana" w:cs="Arial"/>
        </w:rPr>
      </w:pPr>
      <w:r w:rsidRPr="00A37DDA">
        <w:rPr>
          <w:rFonts w:ascii="Verdana" w:hAnsi="Verdana" w:cs="Arial"/>
        </w:rPr>
        <w:t xml:space="preserve">El proceso de evaluación de desempeño </w:t>
      </w:r>
      <w:r>
        <w:rPr>
          <w:rFonts w:ascii="Verdana" w:hAnsi="Verdana" w:cs="Arial"/>
        </w:rPr>
        <w:t>de la vigencia</w:t>
      </w:r>
      <w:r w:rsidR="00BD4CB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2017 – 2018 logra comparar los resultados individuales de la evaluación de desempeño y los resultados ofrecidos por el informe realizado por la Oficina de Control Interno</w:t>
      </w:r>
      <w:r w:rsidR="005673A8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en el que se evalúan cada una de las </w:t>
      </w:r>
      <w:r w:rsidR="002111CC">
        <w:rPr>
          <w:rFonts w:ascii="Verdana" w:hAnsi="Verdana" w:cs="Arial"/>
        </w:rPr>
        <w:t>dependencias</w:t>
      </w:r>
      <w:r>
        <w:rPr>
          <w:rFonts w:ascii="Verdana" w:hAnsi="Verdana" w:cs="Arial"/>
        </w:rPr>
        <w:t xml:space="preserve"> de la entidad, determinando el cumplimiento, entre otros</w:t>
      </w:r>
      <w:r w:rsidR="005673A8">
        <w:rPr>
          <w:rFonts w:ascii="Verdana" w:hAnsi="Verdana" w:cs="Arial"/>
        </w:rPr>
        <w:t xml:space="preserve"> aspectos</w:t>
      </w:r>
      <w:r>
        <w:rPr>
          <w:rFonts w:ascii="Verdana" w:hAnsi="Verdana" w:cs="Arial"/>
        </w:rPr>
        <w:t xml:space="preserve">, de los planes de acción de </w:t>
      </w:r>
      <w:r w:rsidR="005673A8">
        <w:rPr>
          <w:rFonts w:ascii="Verdana" w:hAnsi="Verdana" w:cs="Arial"/>
        </w:rPr>
        <w:t>estas</w:t>
      </w:r>
      <w:r>
        <w:rPr>
          <w:rFonts w:ascii="Verdana" w:hAnsi="Verdana" w:cs="Arial"/>
        </w:rPr>
        <w:t xml:space="preserve">, </w:t>
      </w:r>
      <w:r w:rsidR="005673A8">
        <w:rPr>
          <w:rFonts w:ascii="Verdana" w:hAnsi="Verdana" w:cs="Arial"/>
        </w:rPr>
        <w:t xml:space="preserve">teniendo un promedio de calificación de </w:t>
      </w:r>
      <w:r w:rsidR="002111CC">
        <w:rPr>
          <w:rFonts w:ascii="Verdana" w:hAnsi="Verdana" w:cs="Arial"/>
        </w:rPr>
        <w:t>9,33</w:t>
      </w:r>
      <w:r w:rsidR="005673A8">
        <w:rPr>
          <w:rFonts w:ascii="Verdana" w:hAnsi="Verdana" w:cs="Arial"/>
        </w:rPr>
        <w:t xml:space="preserve"> en la escala de 1 a 10. Con lo que se evidencia un</w:t>
      </w:r>
      <w:r w:rsidR="002111CC">
        <w:rPr>
          <w:rFonts w:ascii="Verdana" w:hAnsi="Verdana" w:cs="Arial"/>
        </w:rPr>
        <w:t xml:space="preserve">a concordancia en ambos resultados, </w:t>
      </w:r>
      <w:r w:rsidR="005673A8">
        <w:rPr>
          <w:rFonts w:ascii="Verdana" w:hAnsi="Verdana" w:cs="Arial"/>
        </w:rPr>
        <w:t xml:space="preserve">puesto </w:t>
      </w:r>
      <w:r w:rsidR="002111CC">
        <w:rPr>
          <w:rFonts w:ascii="Verdana" w:hAnsi="Verdana" w:cs="Arial"/>
        </w:rPr>
        <w:t xml:space="preserve">que la mayoría de </w:t>
      </w:r>
      <w:r w:rsidR="005673A8">
        <w:rPr>
          <w:rFonts w:ascii="Verdana" w:hAnsi="Verdana" w:cs="Arial"/>
        </w:rPr>
        <w:t xml:space="preserve">las evaluaciones individuales </w:t>
      </w:r>
      <w:r w:rsidR="00BD4CB1">
        <w:rPr>
          <w:rFonts w:ascii="Verdana" w:hAnsi="Verdana" w:cs="Arial"/>
        </w:rPr>
        <w:t>son mayores a</w:t>
      </w:r>
      <w:r w:rsidR="005673A8">
        <w:rPr>
          <w:rFonts w:ascii="Verdana" w:hAnsi="Verdana" w:cs="Arial"/>
        </w:rPr>
        <w:t xml:space="preserve"> 9</w:t>
      </w:r>
      <w:r w:rsidR="00BD4CB1">
        <w:rPr>
          <w:rFonts w:ascii="Verdana" w:hAnsi="Verdana" w:cs="Arial"/>
        </w:rPr>
        <w:t>0. C</w:t>
      </w:r>
      <w:r w:rsidR="005673A8">
        <w:rPr>
          <w:rFonts w:ascii="Verdana" w:hAnsi="Verdana" w:cs="Arial"/>
        </w:rPr>
        <w:t xml:space="preserve">on lo anterior se puede </w:t>
      </w:r>
      <w:r w:rsidR="00BD4CB1">
        <w:rPr>
          <w:rFonts w:ascii="Verdana" w:hAnsi="Verdana" w:cs="Arial"/>
        </w:rPr>
        <w:t xml:space="preserve">evidenciar la estrecha relación existente entre los resultados individuales de los funcionarios y los resultados de evaluación por áreas o dependencias, reflejando el aporte y cumplimiento de las mitas institucionales. </w:t>
      </w:r>
    </w:p>
    <w:p w:rsidR="00A44FF6" w:rsidRDefault="00A44FF6" w:rsidP="007953B9">
      <w:pPr>
        <w:pStyle w:val="ecxmsolistparagraph"/>
        <w:shd w:val="clear" w:color="auto" w:fill="FFFFFF"/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Gracias a los resultados obtenidos en la evaluación de desempeño, en su mayoría sobresalientes, se logra cumplir a cabalidad el principio del mérito en la permanencia en los cargos </w:t>
      </w:r>
      <w:r w:rsidR="00FC674D">
        <w:rPr>
          <w:rFonts w:ascii="Verdana" w:hAnsi="Verdana" w:cs="Arial"/>
        </w:rPr>
        <w:t xml:space="preserve">que se encuentran registrados en carrera administrativa. </w:t>
      </w:r>
    </w:p>
    <w:p w:rsidR="007953B9" w:rsidRDefault="00FC674D" w:rsidP="007953B9">
      <w:pPr>
        <w:pStyle w:val="ecxmsolistparagraph"/>
        <w:shd w:val="clear" w:color="auto" w:fill="FFFFFF"/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Conforme a las calificaciones parciales y definitivas se logra aportar un criterio de decisión relativamente objetivo en la conformación del Plan de estímulos e incentivos. </w:t>
      </w:r>
    </w:p>
    <w:p w:rsidR="00AE6CEE" w:rsidRPr="007953B9" w:rsidRDefault="00AE6CEE" w:rsidP="007953B9">
      <w:pPr>
        <w:pStyle w:val="ecxmsolistparagraph"/>
        <w:shd w:val="clear" w:color="auto" w:fill="FFFFFF"/>
        <w:spacing w:after="0" w:line="276" w:lineRule="auto"/>
        <w:jc w:val="both"/>
        <w:rPr>
          <w:rFonts w:ascii="Verdana" w:hAnsi="Verdana" w:cs="Arial"/>
        </w:rPr>
      </w:pPr>
      <w:r w:rsidRPr="00AE6CEE">
        <w:rPr>
          <w:rFonts w:ascii="Verdana" w:hAnsi="Verdana"/>
        </w:rPr>
        <w:t>Junto a este documento y como soporte de la realización del proceso de evaluación de desempeño se anexan</w:t>
      </w:r>
      <w:r>
        <w:rPr>
          <w:rFonts w:ascii="Verdana" w:hAnsi="Verdana"/>
        </w:rPr>
        <w:t xml:space="preserve"> lo siguiente</w:t>
      </w:r>
      <w:r w:rsidRPr="00AE6CEE">
        <w:rPr>
          <w:rFonts w:ascii="Verdana" w:hAnsi="Verdana"/>
        </w:rPr>
        <w:t>:</w:t>
      </w:r>
    </w:p>
    <w:p w:rsidR="007953B9" w:rsidRDefault="007953B9" w:rsidP="007953B9">
      <w:pPr>
        <w:pStyle w:val="Prrafodelista"/>
        <w:numPr>
          <w:ilvl w:val="0"/>
          <w:numId w:val="7"/>
        </w:numPr>
        <w:ind w:left="426"/>
        <w:jc w:val="both"/>
        <w:rPr>
          <w:rFonts w:ascii="Verdana" w:hAnsi="Verdana"/>
          <w:sz w:val="24"/>
          <w:szCs w:val="24"/>
        </w:rPr>
      </w:pPr>
      <w:r w:rsidRPr="007953B9">
        <w:rPr>
          <w:rFonts w:ascii="Verdana" w:hAnsi="Verdana"/>
          <w:sz w:val="24"/>
          <w:szCs w:val="24"/>
          <w:lang w:val="es-ES"/>
        </w:rPr>
        <w:t xml:space="preserve">Ejemplo de </w:t>
      </w:r>
      <w:r w:rsidRPr="007953B9">
        <w:rPr>
          <w:rFonts w:ascii="Verdana" w:hAnsi="Verdana"/>
          <w:sz w:val="24"/>
          <w:szCs w:val="24"/>
        </w:rPr>
        <w:t>a</w:t>
      </w:r>
      <w:r w:rsidR="00AE6CEE" w:rsidRPr="007953B9">
        <w:rPr>
          <w:rFonts w:ascii="Verdana" w:hAnsi="Verdana"/>
          <w:sz w:val="24"/>
          <w:szCs w:val="24"/>
        </w:rPr>
        <w:t>rchivo físico de los formatos de concertación de compromisos (F2)</w:t>
      </w:r>
      <w:r w:rsidR="001828B5" w:rsidRPr="007953B9">
        <w:rPr>
          <w:rFonts w:ascii="Verdana" w:hAnsi="Verdana"/>
          <w:sz w:val="24"/>
          <w:szCs w:val="24"/>
        </w:rPr>
        <w:t xml:space="preserve">, formatos de evidencias (F3), </w:t>
      </w:r>
      <w:r w:rsidR="00AE6CEE" w:rsidRPr="007953B9">
        <w:rPr>
          <w:rFonts w:ascii="Verdana" w:hAnsi="Verdana"/>
          <w:sz w:val="24"/>
          <w:szCs w:val="24"/>
        </w:rPr>
        <w:t>formatos de reporte de calificación (</w:t>
      </w:r>
      <w:r w:rsidRPr="007953B9">
        <w:rPr>
          <w:rFonts w:ascii="Verdana" w:hAnsi="Verdana"/>
          <w:sz w:val="24"/>
          <w:szCs w:val="24"/>
        </w:rPr>
        <w:t xml:space="preserve">F6) </w:t>
      </w:r>
      <w:r w:rsidR="001828B5" w:rsidRPr="007953B9">
        <w:rPr>
          <w:rFonts w:ascii="Verdana" w:hAnsi="Verdana"/>
          <w:sz w:val="24"/>
          <w:szCs w:val="24"/>
        </w:rPr>
        <w:t>evaluación definitiva</w:t>
      </w:r>
      <w:r w:rsidR="00AE6CEE" w:rsidRPr="007953B9">
        <w:rPr>
          <w:rFonts w:ascii="Verdana" w:hAnsi="Verdana"/>
          <w:sz w:val="24"/>
          <w:szCs w:val="24"/>
        </w:rPr>
        <w:t>, firmados por los evaluados y los evaluadores</w:t>
      </w:r>
      <w:r w:rsidRPr="007953B9">
        <w:rPr>
          <w:rFonts w:ascii="Verdana" w:hAnsi="Verdana"/>
          <w:sz w:val="24"/>
          <w:szCs w:val="24"/>
        </w:rPr>
        <w:t>.</w:t>
      </w:r>
      <w:bookmarkStart w:id="22" w:name="_GoBack"/>
      <w:bookmarkEnd w:id="22"/>
    </w:p>
    <w:p w:rsidR="007953B9" w:rsidRPr="007953B9" w:rsidRDefault="007953B9" w:rsidP="007953B9">
      <w:pPr>
        <w:pStyle w:val="Prrafodelista"/>
        <w:ind w:left="426"/>
        <w:jc w:val="both"/>
        <w:rPr>
          <w:rFonts w:ascii="Verdana" w:hAnsi="Verdana"/>
          <w:sz w:val="24"/>
          <w:szCs w:val="24"/>
        </w:rPr>
      </w:pPr>
    </w:p>
    <w:p w:rsidR="004031CE" w:rsidRPr="004031CE" w:rsidRDefault="004031CE" w:rsidP="007953B9">
      <w:pPr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 w:rsidRPr="004031CE">
        <w:rPr>
          <w:rFonts w:ascii="Verdana" w:hAnsi="Verdana"/>
          <w:sz w:val="24"/>
          <w:szCs w:val="24"/>
        </w:rPr>
        <w:t>___</w:t>
      </w:r>
    </w:p>
    <w:p w:rsidR="004031CE" w:rsidRPr="00ED2240" w:rsidRDefault="004031CE" w:rsidP="007953B9">
      <w:pPr>
        <w:pStyle w:val="Sinespaciado"/>
        <w:spacing w:line="276" w:lineRule="auto"/>
        <w:jc w:val="center"/>
        <w:rPr>
          <w:rFonts w:ascii="Verdana" w:hAnsi="Verdana"/>
          <w:b/>
        </w:rPr>
      </w:pPr>
      <w:r w:rsidRPr="00ED2240">
        <w:rPr>
          <w:rFonts w:ascii="Verdana" w:hAnsi="Verdana"/>
          <w:b/>
        </w:rPr>
        <w:t>BEATRIZ MENDEZ CABRALES</w:t>
      </w:r>
    </w:p>
    <w:p w:rsidR="004031CE" w:rsidRDefault="004031CE" w:rsidP="007953B9">
      <w:pPr>
        <w:pStyle w:val="Sinespaciado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Coordinadora Talento Humano</w:t>
      </w:r>
    </w:p>
    <w:p w:rsidR="004031CE" w:rsidRPr="004031CE" w:rsidRDefault="004031CE" w:rsidP="007953B9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4031CE" w:rsidRPr="004031CE" w:rsidSect="00153DB6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0A" w:rsidRDefault="0069070A" w:rsidP="003D488D">
      <w:pPr>
        <w:spacing w:after="0" w:line="240" w:lineRule="auto"/>
      </w:pPr>
      <w:r>
        <w:separator/>
      </w:r>
    </w:p>
  </w:endnote>
  <w:endnote w:type="continuationSeparator" w:id="0">
    <w:p w:rsidR="0069070A" w:rsidRDefault="0069070A" w:rsidP="003D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00D99529">
          <wp:extent cx="2685415" cy="552450"/>
          <wp:effectExtent l="0" t="0" r="635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4E8DF54E" wp14:editId="37088183">
          <wp:extent cx="2685415" cy="552450"/>
          <wp:effectExtent l="0" t="0" r="63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0A" w:rsidRDefault="0069070A" w:rsidP="003D488D">
      <w:pPr>
        <w:spacing w:after="0" w:line="240" w:lineRule="auto"/>
      </w:pPr>
      <w:r>
        <w:separator/>
      </w:r>
    </w:p>
  </w:footnote>
  <w:footnote w:type="continuationSeparator" w:id="0">
    <w:p w:rsidR="0069070A" w:rsidRDefault="0069070A" w:rsidP="003D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1296670" cy="1446530"/>
          <wp:effectExtent l="0" t="0" r="0" b="1270"/>
          <wp:wrapSquare wrapText="bothSides"/>
          <wp:docPr id="10" name="Imagen 10" descr="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</w:p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  <w:r w:rsidRPr="00891843">
      <w:rPr>
        <w:rFonts w:ascii="Verdana" w:hAnsi="Verdana"/>
        <w:lang w:val="es-CO"/>
      </w:rPr>
      <w:t>Coordinadora Área del Talento Humano</w:t>
    </w:r>
  </w:p>
  <w:p w:rsidR="008F5A85" w:rsidRPr="00891843" w:rsidRDefault="008F5A85" w:rsidP="003D488D">
    <w:pPr>
      <w:pStyle w:val="Encabezado"/>
      <w:jc w:val="center"/>
      <w:rPr>
        <w:rFonts w:ascii="Verdana" w:hAnsi="Verdana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</w:p>
  <w:p w:rsidR="008F5A85" w:rsidRPr="00891843" w:rsidRDefault="008F5A85" w:rsidP="003D488D">
    <w:pPr>
      <w:pStyle w:val="Encabezado"/>
      <w:jc w:val="center"/>
      <w:rPr>
        <w:rFonts w:ascii="Verdana" w:hAnsi="Verdana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B979D06" wp14:editId="126FBD55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296670" cy="1446530"/>
          <wp:effectExtent l="0" t="0" r="0" b="1270"/>
          <wp:wrapSquare wrapText="bothSides"/>
          <wp:docPr id="12" name="Imagen 12" descr="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>
    <w:pPr>
      <w:pStyle w:val="Encabezado"/>
    </w:pPr>
  </w:p>
  <w:p w:rsidR="008F5A85" w:rsidRDefault="008F5A85" w:rsidP="007953B9">
    <w:pPr>
      <w:pStyle w:val="Encabezado"/>
      <w:rPr>
        <w:rFonts w:ascii="Verdana" w:hAnsi="Verdana"/>
        <w:lang w:val="es-CO"/>
      </w:rPr>
    </w:pPr>
  </w:p>
  <w:p w:rsidR="008F5A85" w:rsidRDefault="008F5A85" w:rsidP="003D488D">
    <w:pPr>
      <w:pStyle w:val="Encabezado"/>
      <w:jc w:val="center"/>
      <w:rPr>
        <w:rFonts w:ascii="Verdana" w:hAnsi="Verdana"/>
        <w:lang w:val="es-CO"/>
      </w:rPr>
    </w:pPr>
    <w:r w:rsidRPr="00891843">
      <w:rPr>
        <w:rFonts w:ascii="Verdana" w:hAnsi="Verdana"/>
        <w:lang w:val="es-CO"/>
      </w:rPr>
      <w:t>Coordinadora Área del Talento Humano</w:t>
    </w:r>
  </w:p>
  <w:p w:rsidR="008F5A85" w:rsidRPr="00891843" w:rsidRDefault="008F5A85" w:rsidP="003D488D">
    <w:pPr>
      <w:pStyle w:val="Encabezado"/>
      <w:jc w:val="center"/>
      <w:rPr>
        <w:rFonts w:ascii="Verdana" w:hAnsi="Verdana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21"/>
    <w:multiLevelType w:val="multilevel"/>
    <w:tmpl w:val="5C8E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4E267C3"/>
    <w:multiLevelType w:val="hybridMultilevel"/>
    <w:tmpl w:val="E1E253E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D1EE5"/>
    <w:multiLevelType w:val="hybridMultilevel"/>
    <w:tmpl w:val="E18684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C31"/>
    <w:multiLevelType w:val="hybridMultilevel"/>
    <w:tmpl w:val="A9603724"/>
    <w:lvl w:ilvl="0" w:tplc="60B22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473F"/>
    <w:multiLevelType w:val="hybridMultilevel"/>
    <w:tmpl w:val="47C0E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171D"/>
    <w:multiLevelType w:val="hybridMultilevel"/>
    <w:tmpl w:val="1FBA694E"/>
    <w:lvl w:ilvl="0" w:tplc="048A6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352FB"/>
    <w:multiLevelType w:val="hybridMultilevel"/>
    <w:tmpl w:val="74B60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D"/>
    <w:rsid w:val="00001DC7"/>
    <w:rsid w:val="00002CE4"/>
    <w:rsid w:val="000033F4"/>
    <w:rsid w:val="00003A24"/>
    <w:rsid w:val="00005B97"/>
    <w:rsid w:val="000231DE"/>
    <w:rsid w:val="00034048"/>
    <w:rsid w:val="000526F1"/>
    <w:rsid w:val="00055456"/>
    <w:rsid w:val="00056CD5"/>
    <w:rsid w:val="000723CB"/>
    <w:rsid w:val="000765BC"/>
    <w:rsid w:val="000971AE"/>
    <w:rsid w:val="000A1064"/>
    <w:rsid w:val="000A4953"/>
    <w:rsid w:val="000C0CB8"/>
    <w:rsid w:val="000C52D5"/>
    <w:rsid w:val="000C56DC"/>
    <w:rsid w:val="000D2670"/>
    <w:rsid w:val="000E086E"/>
    <w:rsid w:val="000F1327"/>
    <w:rsid w:val="00111CFE"/>
    <w:rsid w:val="00113965"/>
    <w:rsid w:val="00115798"/>
    <w:rsid w:val="00137E41"/>
    <w:rsid w:val="00140007"/>
    <w:rsid w:val="00153DB6"/>
    <w:rsid w:val="00164608"/>
    <w:rsid w:val="00164B51"/>
    <w:rsid w:val="00175031"/>
    <w:rsid w:val="00176F46"/>
    <w:rsid w:val="00181CFB"/>
    <w:rsid w:val="001828B5"/>
    <w:rsid w:val="0019625A"/>
    <w:rsid w:val="00197997"/>
    <w:rsid w:val="001B01DA"/>
    <w:rsid w:val="001C4C57"/>
    <w:rsid w:val="001D637C"/>
    <w:rsid w:val="001D68C8"/>
    <w:rsid w:val="001E24C7"/>
    <w:rsid w:val="001E3967"/>
    <w:rsid w:val="001F2AF7"/>
    <w:rsid w:val="0021118E"/>
    <w:rsid w:val="002111CC"/>
    <w:rsid w:val="002171F2"/>
    <w:rsid w:val="002400C9"/>
    <w:rsid w:val="002419E9"/>
    <w:rsid w:val="00241D98"/>
    <w:rsid w:val="00250953"/>
    <w:rsid w:val="00256EC7"/>
    <w:rsid w:val="00266F88"/>
    <w:rsid w:val="002708AE"/>
    <w:rsid w:val="0027284D"/>
    <w:rsid w:val="002744ED"/>
    <w:rsid w:val="00275DB2"/>
    <w:rsid w:val="00275F7E"/>
    <w:rsid w:val="002778C2"/>
    <w:rsid w:val="00281212"/>
    <w:rsid w:val="002866CD"/>
    <w:rsid w:val="00286D3D"/>
    <w:rsid w:val="0029353F"/>
    <w:rsid w:val="002A051B"/>
    <w:rsid w:val="002A60EE"/>
    <w:rsid w:val="002A61B4"/>
    <w:rsid w:val="002B19F9"/>
    <w:rsid w:val="002B555D"/>
    <w:rsid w:val="002D2DF4"/>
    <w:rsid w:val="002D5F35"/>
    <w:rsid w:val="002E0731"/>
    <w:rsid w:val="0030213C"/>
    <w:rsid w:val="0031641F"/>
    <w:rsid w:val="00320204"/>
    <w:rsid w:val="00321F7D"/>
    <w:rsid w:val="00322F53"/>
    <w:rsid w:val="00327040"/>
    <w:rsid w:val="003465CA"/>
    <w:rsid w:val="00354A64"/>
    <w:rsid w:val="00356097"/>
    <w:rsid w:val="00371467"/>
    <w:rsid w:val="00380AA5"/>
    <w:rsid w:val="00380EB4"/>
    <w:rsid w:val="00387CE4"/>
    <w:rsid w:val="003972B2"/>
    <w:rsid w:val="003A7735"/>
    <w:rsid w:val="003B6ED2"/>
    <w:rsid w:val="003C03F5"/>
    <w:rsid w:val="003C0AA7"/>
    <w:rsid w:val="003C33FD"/>
    <w:rsid w:val="003C7A7B"/>
    <w:rsid w:val="003D488D"/>
    <w:rsid w:val="003D5443"/>
    <w:rsid w:val="003D7F4D"/>
    <w:rsid w:val="003E2B0D"/>
    <w:rsid w:val="003E3E9A"/>
    <w:rsid w:val="003E4AED"/>
    <w:rsid w:val="003E686D"/>
    <w:rsid w:val="003F35F1"/>
    <w:rsid w:val="004031CE"/>
    <w:rsid w:val="00403745"/>
    <w:rsid w:val="00403CDF"/>
    <w:rsid w:val="004117EF"/>
    <w:rsid w:val="004158B4"/>
    <w:rsid w:val="00432867"/>
    <w:rsid w:val="00443C97"/>
    <w:rsid w:val="00445AF6"/>
    <w:rsid w:val="004500E1"/>
    <w:rsid w:val="00455785"/>
    <w:rsid w:val="0045670F"/>
    <w:rsid w:val="00456AF6"/>
    <w:rsid w:val="004649B0"/>
    <w:rsid w:val="00480860"/>
    <w:rsid w:val="0048640C"/>
    <w:rsid w:val="00490669"/>
    <w:rsid w:val="004979B0"/>
    <w:rsid w:val="004A082D"/>
    <w:rsid w:val="004C477A"/>
    <w:rsid w:val="004E7C4F"/>
    <w:rsid w:val="004F2BDE"/>
    <w:rsid w:val="004F3410"/>
    <w:rsid w:val="005028BF"/>
    <w:rsid w:val="005101DD"/>
    <w:rsid w:val="005134D8"/>
    <w:rsid w:val="00513F52"/>
    <w:rsid w:val="00516A89"/>
    <w:rsid w:val="005230E8"/>
    <w:rsid w:val="005246CD"/>
    <w:rsid w:val="00526033"/>
    <w:rsid w:val="00531D89"/>
    <w:rsid w:val="005512E2"/>
    <w:rsid w:val="0055145B"/>
    <w:rsid w:val="00562FE0"/>
    <w:rsid w:val="005673A8"/>
    <w:rsid w:val="0057005E"/>
    <w:rsid w:val="0057389D"/>
    <w:rsid w:val="00582040"/>
    <w:rsid w:val="005B1EB4"/>
    <w:rsid w:val="005B30BC"/>
    <w:rsid w:val="005C2EE6"/>
    <w:rsid w:val="005C43AD"/>
    <w:rsid w:val="005D0757"/>
    <w:rsid w:val="005D7F92"/>
    <w:rsid w:val="005E3BE5"/>
    <w:rsid w:val="005E3DC2"/>
    <w:rsid w:val="005F2349"/>
    <w:rsid w:val="005F2A4A"/>
    <w:rsid w:val="005F4309"/>
    <w:rsid w:val="005F6C0E"/>
    <w:rsid w:val="00630705"/>
    <w:rsid w:val="006316B4"/>
    <w:rsid w:val="00633B2A"/>
    <w:rsid w:val="006357BB"/>
    <w:rsid w:val="00635C73"/>
    <w:rsid w:val="00637E1E"/>
    <w:rsid w:val="0064290A"/>
    <w:rsid w:val="00653ACD"/>
    <w:rsid w:val="00676E88"/>
    <w:rsid w:val="00684EDA"/>
    <w:rsid w:val="0069070A"/>
    <w:rsid w:val="00692D52"/>
    <w:rsid w:val="006A484E"/>
    <w:rsid w:val="006A4E1C"/>
    <w:rsid w:val="006A5674"/>
    <w:rsid w:val="006B5C74"/>
    <w:rsid w:val="006B71D9"/>
    <w:rsid w:val="006C54DD"/>
    <w:rsid w:val="006D3179"/>
    <w:rsid w:val="006F1CFB"/>
    <w:rsid w:val="006F5F95"/>
    <w:rsid w:val="006F768F"/>
    <w:rsid w:val="007011E9"/>
    <w:rsid w:val="00701225"/>
    <w:rsid w:val="00716BA7"/>
    <w:rsid w:val="00732475"/>
    <w:rsid w:val="00733CE9"/>
    <w:rsid w:val="00735190"/>
    <w:rsid w:val="00735EC5"/>
    <w:rsid w:val="00741853"/>
    <w:rsid w:val="00760BE9"/>
    <w:rsid w:val="00770B25"/>
    <w:rsid w:val="007726B9"/>
    <w:rsid w:val="007732B3"/>
    <w:rsid w:val="007736FC"/>
    <w:rsid w:val="0077798D"/>
    <w:rsid w:val="0078644D"/>
    <w:rsid w:val="0078758E"/>
    <w:rsid w:val="00795158"/>
    <w:rsid w:val="007953B9"/>
    <w:rsid w:val="007A170F"/>
    <w:rsid w:val="007A1C99"/>
    <w:rsid w:val="007A206D"/>
    <w:rsid w:val="007B3C11"/>
    <w:rsid w:val="007C1CB1"/>
    <w:rsid w:val="007D3AE2"/>
    <w:rsid w:val="007E1012"/>
    <w:rsid w:val="007E40A8"/>
    <w:rsid w:val="007F0577"/>
    <w:rsid w:val="007F0B5E"/>
    <w:rsid w:val="00811025"/>
    <w:rsid w:val="00814781"/>
    <w:rsid w:val="00815394"/>
    <w:rsid w:val="00823D72"/>
    <w:rsid w:val="008321B0"/>
    <w:rsid w:val="00836ABF"/>
    <w:rsid w:val="00841B4C"/>
    <w:rsid w:val="0086597F"/>
    <w:rsid w:val="00896452"/>
    <w:rsid w:val="008A23AB"/>
    <w:rsid w:val="008A3C53"/>
    <w:rsid w:val="008A7899"/>
    <w:rsid w:val="008B02B4"/>
    <w:rsid w:val="008B2732"/>
    <w:rsid w:val="008C10AE"/>
    <w:rsid w:val="008D7AD6"/>
    <w:rsid w:val="008E2934"/>
    <w:rsid w:val="008F140C"/>
    <w:rsid w:val="008F5A85"/>
    <w:rsid w:val="009006BD"/>
    <w:rsid w:val="00907CB5"/>
    <w:rsid w:val="009420E7"/>
    <w:rsid w:val="009464C5"/>
    <w:rsid w:val="009477CE"/>
    <w:rsid w:val="009514ED"/>
    <w:rsid w:val="00964D26"/>
    <w:rsid w:val="009813B4"/>
    <w:rsid w:val="009834A8"/>
    <w:rsid w:val="009872F1"/>
    <w:rsid w:val="009A71C6"/>
    <w:rsid w:val="009B75D3"/>
    <w:rsid w:val="009C1A35"/>
    <w:rsid w:val="00A24E21"/>
    <w:rsid w:val="00A25B68"/>
    <w:rsid w:val="00A2669C"/>
    <w:rsid w:val="00A323BE"/>
    <w:rsid w:val="00A333EB"/>
    <w:rsid w:val="00A369B3"/>
    <w:rsid w:val="00A37DDA"/>
    <w:rsid w:val="00A37ECD"/>
    <w:rsid w:val="00A41BDB"/>
    <w:rsid w:val="00A43BA2"/>
    <w:rsid w:val="00A44FF6"/>
    <w:rsid w:val="00A6261D"/>
    <w:rsid w:val="00A6400A"/>
    <w:rsid w:val="00A857EF"/>
    <w:rsid w:val="00A9201D"/>
    <w:rsid w:val="00A933DB"/>
    <w:rsid w:val="00AB0216"/>
    <w:rsid w:val="00AB4F09"/>
    <w:rsid w:val="00AC380B"/>
    <w:rsid w:val="00AE6CEE"/>
    <w:rsid w:val="00B02C98"/>
    <w:rsid w:val="00B04088"/>
    <w:rsid w:val="00B058F7"/>
    <w:rsid w:val="00B10EB3"/>
    <w:rsid w:val="00B12E97"/>
    <w:rsid w:val="00B13EC9"/>
    <w:rsid w:val="00B36BF6"/>
    <w:rsid w:val="00B5403C"/>
    <w:rsid w:val="00B55B5F"/>
    <w:rsid w:val="00B5616B"/>
    <w:rsid w:val="00B90021"/>
    <w:rsid w:val="00B91D56"/>
    <w:rsid w:val="00B94752"/>
    <w:rsid w:val="00BA6483"/>
    <w:rsid w:val="00BB0818"/>
    <w:rsid w:val="00BD4CB1"/>
    <w:rsid w:val="00BE045F"/>
    <w:rsid w:val="00BF584E"/>
    <w:rsid w:val="00C0173B"/>
    <w:rsid w:val="00C07C2D"/>
    <w:rsid w:val="00C13878"/>
    <w:rsid w:val="00C1637E"/>
    <w:rsid w:val="00C216DC"/>
    <w:rsid w:val="00C35DC9"/>
    <w:rsid w:val="00C37A11"/>
    <w:rsid w:val="00C422A7"/>
    <w:rsid w:val="00C42FC1"/>
    <w:rsid w:val="00C62410"/>
    <w:rsid w:val="00C80738"/>
    <w:rsid w:val="00C8434B"/>
    <w:rsid w:val="00C850C8"/>
    <w:rsid w:val="00C86B04"/>
    <w:rsid w:val="00C91457"/>
    <w:rsid w:val="00CB0035"/>
    <w:rsid w:val="00CB5DE5"/>
    <w:rsid w:val="00CB636B"/>
    <w:rsid w:val="00CB6DB1"/>
    <w:rsid w:val="00CB75CD"/>
    <w:rsid w:val="00CB7E99"/>
    <w:rsid w:val="00CC6477"/>
    <w:rsid w:val="00CD62EB"/>
    <w:rsid w:val="00CE3BAF"/>
    <w:rsid w:val="00CE6F85"/>
    <w:rsid w:val="00CF0F22"/>
    <w:rsid w:val="00CF5AAA"/>
    <w:rsid w:val="00D01772"/>
    <w:rsid w:val="00D06BA2"/>
    <w:rsid w:val="00D15A4C"/>
    <w:rsid w:val="00D17C08"/>
    <w:rsid w:val="00D257C3"/>
    <w:rsid w:val="00D4325F"/>
    <w:rsid w:val="00D50608"/>
    <w:rsid w:val="00D5642C"/>
    <w:rsid w:val="00D661D3"/>
    <w:rsid w:val="00D72B1F"/>
    <w:rsid w:val="00D8427F"/>
    <w:rsid w:val="00D867A1"/>
    <w:rsid w:val="00D930B7"/>
    <w:rsid w:val="00D93235"/>
    <w:rsid w:val="00DA71B4"/>
    <w:rsid w:val="00DC3B20"/>
    <w:rsid w:val="00DD3F73"/>
    <w:rsid w:val="00DD7838"/>
    <w:rsid w:val="00DE1875"/>
    <w:rsid w:val="00DF2A5E"/>
    <w:rsid w:val="00DF3C83"/>
    <w:rsid w:val="00DF7B69"/>
    <w:rsid w:val="00E05BFE"/>
    <w:rsid w:val="00E06099"/>
    <w:rsid w:val="00E101A7"/>
    <w:rsid w:val="00E14B76"/>
    <w:rsid w:val="00E15EFC"/>
    <w:rsid w:val="00E16129"/>
    <w:rsid w:val="00E16456"/>
    <w:rsid w:val="00E32EFD"/>
    <w:rsid w:val="00E423E9"/>
    <w:rsid w:val="00E60DB9"/>
    <w:rsid w:val="00E61EC5"/>
    <w:rsid w:val="00E62B46"/>
    <w:rsid w:val="00E62C4F"/>
    <w:rsid w:val="00E62F54"/>
    <w:rsid w:val="00E703DF"/>
    <w:rsid w:val="00E91600"/>
    <w:rsid w:val="00E946C0"/>
    <w:rsid w:val="00E959E3"/>
    <w:rsid w:val="00EB1995"/>
    <w:rsid w:val="00EB45C8"/>
    <w:rsid w:val="00EC0AD2"/>
    <w:rsid w:val="00EC4608"/>
    <w:rsid w:val="00EC6C15"/>
    <w:rsid w:val="00EC7896"/>
    <w:rsid w:val="00ED2756"/>
    <w:rsid w:val="00EF6ACE"/>
    <w:rsid w:val="00F01E11"/>
    <w:rsid w:val="00F131F9"/>
    <w:rsid w:val="00F20A7B"/>
    <w:rsid w:val="00F271C6"/>
    <w:rsid w:val="00F2766A"/>
    <w:rsid w:val="00F52F05"/>
    <w:rsid w:val="00F611AE"/>
    <w:rsid w:val="00F6603A"/>
    <w:rsid w:val="00F66CF9"/>
    <w:rsid w:val="00F671D2"/>
    <w:rsid w:val="00F77BF7"/>
    <w:rsid w:val="00F80C75"/>
    <w:rsid w:val="00FA4A05"/>
    <w:rsid w:val="00FB536C"/>
    <w:rsid w:val="00FC174B"/>
    <w:rsid w:val="00FC2400"/>
    <w:rsid w:val="00FC674D"/>
    <w:rsid w:val="00FD100C"/>
    <w:rsid w:val="00FF47A0"/>
    <w:rsid w:val="00FF63F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B6BC2"/>
  <w15:docId w15:val="{69BD4C23-0282-4980-A647-F04292A3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61D3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D661D3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61D3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488D"/>
  </w:style>
  <w:style w:type="paragraph" w:styleId="Piedepgina">
    <w:name w:val="footer"/>
    <w:basedOn w:val="Normal"/>
    <w:link w:val="PiedepginaCar"/>
    <w:uiPriority w:val="99"/>
    <w:unhideWhenUsed/>
    <w:rsid w:val="003D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8D"/>
  </w:style>
  <w:style w:type="paragraph" w:styleId="Sinespaciado">
    <w:name w:val="No Spacing"/>
    <w:uiPriority w:val="1"/>
    <w:qFormat/>
    <w:rsid w:val="008110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78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-5584446705104920762gmail-msonospacing">
    <w:name w:val="x_m_-5584446705104920762gmail-msonospacing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-5584446705104920762gmail-msolistparagraph">
    <w:name w:val="x_m_-5584446705104920762gmail-msolistparagraph"/>
    <w:basedOn w:val="Normal"/>
    <w:rsid w:val="007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661D3"/>
    <w:rPr>
      <w:rFonts w:ascii="Verdana" w:eastAsia="Times New Roman" w:hAnsi="Verdana" w:cs="Times New Roman"/>
      <w:b/>
      <w:sz w:val="24"/>
      <w:szCs w:val="20"/>
      <w:lang w:val="es-CO" w:eastAsia="es-ES"/>
    </w:rPr>
  </w:style>
  <w:style w:type="paragraph" w:customStyle="1" w:styleId="ecxmsolistparagraph">
    <w:name w:val="ecxmsolistparagraph"/>
    <w:basedOn w:val="Normal"/>
    <w:rsid w:val="005F2A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rsid w:val="007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B7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75D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4C57"/>
    <w:pPr>
      <w:spacing w:after="200" w:line="276" w:lineRule="auto"/>
      <w:ind w:left="720"/>
      <w:contextualSpacing/>
    </w:pPr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661D3"/>
    <w:rPr>
      <w:rFonts w:ascii="Verdana" w:eastAsiaTheme="majorEastAsia" w:hAnsi="Verdana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661D3"/>
    <w:rPr>
      <w:rFonts w:ascii="Verdana" w:eastAsiaTheme="majorEastAsia" w:hAnsi="Verdana" w:cstheme="majorBidi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246CD"/>
    <w:pPr>
      <w:spacing w:after="100"/>
    </w:pPr>
    <w:rPr>
      <w:rFonts w:ascii="Verdana" w:hAnsi="Verdana"/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5246CD"/>
    <w:pPr>
      <w:spacing w:after="100"/>
      <w:ind w:left="220"/>
    </w:pPr>
    <w:rPr>
      <w:rFonts w:ascii="Verdana" w:hAnsi="Verdana"/>
      <w:b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5246CD"/>
    <w:pPr>
      <w:spacing w:after="100"/>
      <w:ind w:left="440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9436190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3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Hoja2!$N$15</c:f>
              <c:strCache>
                <c:ptCount val="1"/>
                <c:pt idx="0">
                  <c:v>NUMERO DE FUNCIONARIOS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5E-43D4-91A2-AA644CD89A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5E-43D4-91A2-AA644CD89A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B5E-43D4-91A2-AA644CD89A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B5E-43D4-91A2-AA644CD89A0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B5E-43D4-91A2-AA644CD89A0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B5E-43D4-91A2-AA644CD89A0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B5E-43D4-91A2-AA644CD89A0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B5E-43D4-91A2-AA644CD89A0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Hoja2!$M$16:$M$19</c:f>
              <c:strCache>
                <c:ptCount val="4"/>
                <c:pt idx="0">
                  <c:v>86,00 - 89,29</c:v>
                </c:pt>
                <c:pt idx="1">
                  <c:v>89,29 - 92,58</c:v>
                </c:pt>
                <c:pt idx="2">
                  <c:v>92,575 - 95,86</c:v>
                </c:pt>
                <c:pt idx="3">
                  <c:v>95,86 - 99,15</c:v>
                </c:pt>
              </c:strCache>
            </c:strRef>
          </c:cat>
          <c:val>
            <c:numRef>
              <c:f>Hoja2!$N$16:$N$19</c:f>
              <c:numCache>
                <c:formatCode>0%</c:formatCode>
                <c:ptCount val="4"/>
                <c:pt idx="0">
                  <c:v>6.25E-2</c:v>
                </c:pt>
                <c:pt idx="1">
                  <c:v>0.25</c:v>
                </c:pt>
                <c:pt idx="2">
                  <c:v>0.34375</c:v>
                </c:pt>
                <c:pt idx="3">
                  <c:v>0.34375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5E-43D4-91A2-AA644CD89A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954C-C003-4F61-80F3-EDA58C62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2803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L.GARCIA-R.HUMANO</dc:creator>
  <cp:keywords/>
  <dc:description/>
  <cp:lastModifiedBy>BMENDEZ</cp:lastModifiedBy>
  <cp:revision>3</cp:revision>
  <cp:lastPrinted>2019-01-28T19:24:00Z</cp:lastPrinted>
  <dcterms:created xsi:type="dcterms:W3CDTF">2018-12-18T20:00:00Z</dcterms:created>
  <dcterms:modified xsi:type="dcterms:W3CDTF">2019-01-28T19:27:00Z</dcterms:modified>
</cp:coreProperties>
</file>